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B3903">
      <w:pPr>
        <w:pStyle w:val="16"/>
        <w:keepLines/>
        <w:tabs>
          <w:tab w:val="right" w:pos="10440"/>
          <w:tab w:val="right" w:pos="13323"/>
        </w:tabs>
        <w:spacing w:before="60" w:after="60"/>
        <w:rPr>
          <w:rFonts w:cs="Arial" w:eastAsiaTheme="minorEastAsia"/>
          <w:b w:val="0"/>
          <w:sz w:val="24"/>
          <w:szCs w:val="24"/>
          <w:lang w:val="en-US" w:eastAsia="zh-CN"/>
        </w:rPr>
      </w:pPr>
      <w:bookmarkStart w:id="0" w:name="Title"/>
      <w:bookmarkEnd w:id="0"/>
      <w:bookmarkStart w:id="1" w:name="DocumentFor"/>
      <w:bookmarkEnd w:id="1"/>
      <w:bookmarkStart w:id="2" w:name="_Ref399006623"/>
      <w:bookmarkStart w:id="3" w:name="_Toc193024528"/>
      <w:bookmarkStart w:id="4" w:name="_Toc92513360"/>
      <w:r>
        <w:rPr>
          <w:rFonts w:cs="Arial"/>
          <w:sz w:val="24"/>
          <w:szCs w:val="24"/>
        </w:rPr>
        <w:t xml:space="preserve">3GPP TSG-RAN WG4 Meeting </w:t>
      </w:r>
      <w:bookmarkStart w:id="5" w:name="OLE_LINK94"/>
      <w:bookmarkStart w:id="6" w:name="OLE_LINK95"/>
      <w:r>
        <w:rPr>
          <w:rFonts w:cs="Arial"/>
          <w:sz w:val="24"/>
          <w:szCs w:val="24"/>
        </w:rPr>
        <w:t>#</w:t>
      </w:r>
      <w:r>
        <w:rPr>
          <w:rFonts w:cs="Arial"/>
        </w:rPr>
        <w:t xml:space="preserve"> </w:t>
      </w:r>
      <w:r>
        <w:rPr>
          <w:rFonts w:cs="Arial"/>
          <w:sz w:val="24"/>
          <w:szCs w:val="24"/>
        </w:rPr>
        <w:t>1</w:t>
      </w:r>
      <w:bookmarkEnd w:id="5"/>
      <w:bookmarkEnd w:id="6"/>
      <w:r>
        <w:rPr>
          <w:rFonts w:hint="eastAsia" w:cs="Arial" w:eastAsiaTheme="minorEastAsia"/>
          <w:sz w:val="24"/>
          <w:szCs w:val="24"/>
          <w:lang w:eastAsia="zh-CN"/>
        </w:rPr>
        <w:t>1</w:t>
      </w:r>
      <w:r>
        <w:rPr>
          <w:rFonts w:hint="eastAsia" w:cs="Arial" w:eastAsiaTheme="minorEastAsia"/>
          <w:sz w:val="24"/>
          <w:szCs w:val="24"/>
          <w:lang w:val="en-US" w:eastAsia="zh-CN"/>
        </w:rPr>
        <w:t>3</w:t>
      </w:r>
      <w:r>
        <w:rPr>
          <w:rFonts w:cs="Arial"/>
          <w:sz w:val="24"/>
          <w:szCs w:val="28"/>
        </w:rPr>
        <w:tab/>
      </w:r>
      <w:r>
        <w:rPr>
          <w:rFonts w:hint="eastAsia" w:cs="Arial" w:eastAsiaTheme="minorEastAsia"/>
          <w:sz w:val="24"/>
          <w:szCs w:val="28"/>
          <w:lang w:eastAsia="zh-CN"/>
        </w:rPr>
        <w:t xml:space="preserve">             R4-2420104</w:t>
      </w:r>
    </w:p>
    <w:p w14:paraId="7C735300">
      <w:pPr>
        <w:pStyle w:val="48"/>
        <w:outlineLvl w:val="0"/>
        <w:rPr>
          <w:rStyle w:val="76"/>
          <w:rFonts w:eastAsia="宋体"/>
          <w:bCs w:val="0"/>
          <w:lang w:eastAsia="zh-CN"/>
        </w:rPr>
      </w:pPr>
      <w:r>
        <w:rPr>
          <w:b/>
          <w:sz w:val="24"/>
          <w:lang w:eastAsia="zh-CN"/>
        </w:rPr>
        <w:t xml:space="preserve">Orlando , US, </w:t>
      </w:r>
      <w:r>
        <w:rPr>
          <w:rFonts w:hint="eastAsia"/>
          <w:b/>
          <w:sz w:val="24"/>
          <w:lang w:eastAsia="zh-CN"/>
        </w:rPr>
        <w:t>Nov</w:t>
      </w:r>
      <w:r>
        <w:rPr>
          <w:b/>
          <w:sz w:val="24"/>
          <w:lang w:eastAsia="zh-CN"/>
        </w:rPr>
        <w:t xml:space="preserve"> 1</w:t>
      </w:r>
      <w:r>
        <w:rPr>
          <w:rFonts w:hint="eastAsia"/>
          <w:b/>
          <w:sz w:val="24"/>
          <w:lang w:eastAsia="zh-CN"/>
        </w:rPr>
        <w:t>8</w:t>
      </w:r>
      <w:r>
        <w:rPr>
          <w:b/>
          <w:sz w:val="24"/>
          <w:lang w:eastAsia="zh-CN"/>
        </w:rPr>
        <w:t xml:space="preserve"> – </w:t>
      </w:r>
      <w:r>
        <w:rPr>
          <w:rFonts w:hint="eastAsia"/>
          <w:b/>
          <w:sz w:val="24"/>
          <w:lang w:eastAsia="zh-CN"/>
        </w:rPr>
        <w:t>22</w:t>
      </w:r>
      <w:r>
        <w:rPr>
          <w:b/>
          <w:sz w:val="24"/>
          <w:lang w:eastAsia="zh-CN"/>
        </w:rPr>
        <w:t>, 2024</w:t>
      </w:r>
    </w:p>
    <w:p w14:paraId="07D6CEA2">
      <w:pPr>
        <w:tabs>
          <w:tab w:val="left" w:pos="1985"/>
        </w:tabs>
        <w:overflowPunct w:val="0"/>
        <w:autoSpaceDE w:val="0"/>
        <w:autoSpaceDN w:val="0"/>
        <w:adjustRightInd w:val="0"/>
        <w:textAlignment w:val="baseline"/>
        <w:rPr>
          <w:rFonts w:ascii="Arial" w:hAnsi="Arial" w:cs="Arial"/>
          <w:b/>
          <w:sz w:val="22"/>
        </w:rPr>
      </w:pPr>
    </w:p>
    <w:p w14:paraId="4F067867">
      <w:pPr>
        <w:tabs>
          <w:tab w:val="left" w:pos="1985"/>
        </w:tabs>
        <w:overflowPunct w:val="0"/>
        <w:autoSpaceDE w:val="0"/>
        <w:autoSpaceDN w:val="0"/>
        <w:adjustRightInd w:val="0"/>
        <w:textAlignment w:val="baseline"/>
        <w:rPr>
          <w:rFonts w:ascii="Arial" w:hAnsi="Arial" w:cs="Arial" w:eastAsiaTheme="minorEastAsia"/>
          <w:b/>
          <w:sz w:val="22"/>
          <w:lang w:eastAsia="zh-CN"/>
        </w:rPr>
      </w:pPr>
      <w:r>
        <w:rPr>
          <w:rFonts w:ascii="Arial" w:hAnsi="Arial" w:cs="Arial"/>
          <w:b/>
          <w:sz w:val="22"/>
        </w:rPr>
        <w:t>Agenda Item:</w:t>
      </w:r>
      <w:r>
        <w:rPr>
          <w:rFonts w:ascii="Arial" w:hAnsi="Arial" w:cs="Arial"/>
          <w:sz w:val="22"/>
        </w:rPr>
        <w:tab/>
      </w:r>
      <w:r>
        <w:rPr>
          <w:rFonts w:hint="eastAsia" w:ascii="Arial" w:hAnsi="Arial" w:cs="Arial" w:eastAsiaTheme="minorEastAsia"/>
          <w:sz w:val="22"/>
          <w:lang w:val="en-US" w:eastAsia="zh-CN"/>
        </w:rPr>
        <w:t>7</w:t>
      </w:r>
      <w:r>
        <w:rPr>
          <w:rFonts w:hint="eastAsia" w:ascii="Arial" w:hAnsi="Arial" w:cs="Arial" w:eastAsiaTheme="minorEastAsia"/>
          <w:sz w:val="22"/>
        </w:rPr>
        <w:t>.26.5</w:t>
      </w:r>
    </w:p>
    <w:p w14:paraId="7169C56E">
      <w:pPr>
        <w:tabs>
          <w:tab w:val="left" w:pos="1985"/>
        </w:tabs>
        <w:overflowPunct w:val="0"/>
        <w:autoSpaceDE w:val="0"/>
        <w:autoSpaceDN w:val="0"/>
        <w:adjustRightInd w:val="0"/>
        <w:textAlignment w:val="baseline"/>
        <w:rPr>
          <w:rFonts w:ascii="Arial" w:hAnsi="Arial" w:cs="Arial" w:eastAsiaTheme="minorEastAsia"/>
          <w:b/>
          <w:sz w:val="22"/>
          <w:lang w:eastAsia="zh-CN"/>
        </w:rPr>
      </w:pPr>
      <w:r>
        <w:rPr>
          <w:rFonts w:ascii="Arial" w:hAnsi="Arial" w:cs="Arial"/>
          <w:b/>
          <w:sz w:val="22"/>
        </w:rPr>
        <w:t xml:space="preserve">Source: </w:t>
      </w:r>
      <w:r>
        <w:rPr>
          <w:rFonts w:ascii="Arial" w:hAnsi="Arial" w:cs="Arial"/>
          <w:b/>
          <w:sz w:val="22"/>
        </w:rPr>
        <w:tab/>
      </w:r>
      <w:r>
        <w:rPr>
          <w:rFonts w:ascii="Arial" w:hAnsi="Arial" w:cs="Arial" w:eastAsiaTheme="minorEastAsia"/>
          <w:sz w:val="22"/>
          <w:lang w:eastAsia="zh-CN"/>
        </w:rPr>
        <w:t>Moderator (CATT)</w:t>
      </w:r>
    </w:p>
    <w:p w14:paraId="1A2F744A">
      <w:pPr>
        <w:overflowPunct w:val="0"/>
        <w:autoSpaceDE w:val="0"/>
        <w:autoSpaceDN w:val="0"/>
        <w:adjustRightInd w:val="0"/>
        <w:ind w:left="1985" w:hanging="1985"/>
        <w:textAlignment w:val="baseline"/>
        <w:rPr>
          <w:rFonts w:ascii="Arial" w:hAnsi="Arial" w:cs="Arial" w:eastAsiaTheme="minorEastAsia"/>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bookmarkStart w:id="7" w:name="OLE_LINK88"/>
      <w:bookmarkStart w:id="8" w:name="OLE_LINK89"/>
      <w:r>
        <w:rPr>
          <w:rFonts w:hint="eastAsia" w:ascii="Arial" w:hAnsi="Arial" w:cs="Arial"/>
          <w:sz w:val="22"/>
        </w:rPr>
        <w:t>WF on RRM requirements for NR_NTN_Ph3_Part1</w:t>
      </w:r>
    </w:p>
    <w:bookmarkEnd w:id="7"/>
    <w:bookmarkEnd w:id="8"/>
    <w:p w14:paraId="7DC46B01">
      <w:pPr>
        <w:tabs>
          <w:tab w:val="left" w:pos="1985"/>
        </w:tabs>
        <w:overflowPunct w:val="0"/>
        <w:autoSpaceDE w:val="0"/>
        <w:autoSpaceDN w:val="0"/>
        <w:adjustRightInd w:val="0"/>
        <w:textAlignment w:val="baseline"/>
        <w:rPr>
          <w:rFonts w:ascii="Arial" w:hAnsi="Arial" w:cs="Arial"/>
          <w:sz w:val="22"/>
          <w:lang w:eastAsia="zh-CN"/>
        </w:rPr>
      </w:pPr>
      <w:r>
        <w:rPr>
          <w:rFonts w:ascii="Arial" w:hAnsi="Arial" w:cs="Arial"/>
          <w:b/>
          <w:sz w:val="22"/>
        </w:rPr>
        <w:t>Document for:</w:t>
      </w:r>
      <w:r>
        <w:rPr>
          <w:rFonts w:ascii="Arial" w:hAnsi="Arial" w:cs="Arial"/>
          <w:sz w:val="22"/>
        </w:rPr>
        <w:tab/>
      </w:r>
      <w:r>
        <w:rPr>
          <w:rFonts w:ascii="Arial" w:hAnsi="Arial" w:cs="Arial"/>
          <w:sz w:val="22"/>
        </w:rPr>
        <w:t>Approval</w:t>
      </w:r>
    </w:p>
    <w:p w14:paraId="5FABCFCA">
      <w:pPr>
        <w:pStyle w:val="2"/>
        <w:ind w:left="432" w:hanging="432"/>
        <w:rPr>
          <w:lang w:eastAsia="ja-JP"/>
        </w:rPr>
      </w:pPr>
      <w:r>
        <w:rPr>
          <w:lang w:eastAsia="ja-JP"/>
        </w:rPr>
        <w:t>0 Notes:</w:t>
      </w:r>
    </w:p>
    <w:p w14:paraId="734D975B">
      <w:pPr>
        <w:tabs>
          <w:tab w:val="left" w:pos="1985"/>
        </w:tabs>
        <w:jc w:val="both"/>
        <w:rPr>
          <w:szCs w:val="24"/>
          <w:lang w:eastAsia="zh-CN"/>
        </w:rPr>
      </w:pPr>
      <w:r>
        <w:rPr>
          <w:rFonts w:hint="eastAsia"/>
          <w:szCs w:val="24"/>
          <w:lang w:eastAsia="zh-CN"/>
        </w:rPr>
        <w:t>I</w:t>
      </w:r>
      <w:r>
        <w:rPr>
          <w:szCs w:val="24"/>
          <w:lang w:eastAsia="zh-CN"/>
        </w:rPr>
        <w:t xml:space="preserve">n this document, </w:t>
      </w:r>
    </w:p>
    <w:p w14:paraId="4C6C56BB">
      <w:pPr>
        <w:pStyle w:val="29"/>
        <w:numPr>
          <w:ilvl w:val="0"/>
          <w:numId w:val="6"/>
        </w:numPr>
        <w:spacing w:after="120"/>
        <w:ind w:left="720"/>
        <w:contextualSpacing w:val="0"/>
        <w:rPr>
          <w:szCs w:val="24"/>
          <w:lang w:eastAsia="zh-CN"/>
        </w:rPr>
      </w:pPr>
      <w:r>
        <w:rPr>
          <w:b/>
          <w:szCs w:val="24"/>
          <w:lang w:eastAsia="zh-CN"/>
        </w:rPr>
        <w:t xml:space="preserve">&lt; Agreement &gt; </w:t>
      </w:r>
      <w:r>
        <w:rPr>
          <w:szCs w:val="24"/>
          <w:lang w:eastAsia="zh-CN"/>
        </w:rPr>
        <w:t>represents the decisions made by in this meeting</w:t>
      </w:r>
    </w:p>
    <w:p w14:paraId="60503B60">
      <w:pPr>
        <w:pStyle w:val="29"/>
        <w:numPr>
          <w:ilvl w:val="0"/>
          <w:numId w:val="6"/>
        </w:numPr>
        <w:spacing w:after="120"/>
        <w:ind w:left="720"/>
        <w:contextualSpacing w:val="0"/>
        <w:rPr>
          <w:szCs w:val="24"/>
          <w:lang w:eastAsia="zh-CN"/>
        </w:rPr>
      </w:pPr>
      <w:r>
        <w:rPr>
          <w:rFonts w:hint="eastAsia"/>
          <w:b/>
          <w:szCs w:val="24"/>
          <w:lang w:eastAsia="zh-CN"/>
        </w:rPr>
        <w:t>&lt;</w:t>
      </w:r>
      <w:r>
        <w:rPr>
          <w:b/>
          <w:szCs w:val="24"/>
          <w:lang w:eastAsia="zh-CN"/>
        </w:rPr>
        <w:t xml:space="preserve"> Way forward &gt;</w:t>
      </w:r>
      <w:r>
        <w:rPr>
          <w:szCs w:val="24"/>
          <w:lang w:eastAsia="zh-CN"/>
        </w:rPr>
        <w:t xml:space="preserve"> represents the next step in later meetings</w:t>
      </w:r>
    </w:p>
    <w:p w14:paraId="1A04237C">
      <w:pPr>
        <w:pStyle w:val="29"/>
        <w:numPr>
          <w:ilvl w:val="1"/>
          <w:numId w:val="7"/>
        </w:numPr>
        <w:overflowPunct w:val="0"/>
        <w:autoSpaceDE w:val="0"/>
        <w:autoSpaceDN w:val="0"/>
        <w:adjustRightInd w:val="0"/>
        <w:contextualSpacing w:val="0"/>
        <w:textAlignment w:val="baseline"/>
        <w:rPr>
          <w:rFonts w:eastAsia="PMingLiU"/>
          <w:szCs w:val="24"/>
          <w:lang w:eastAsia="zh-TW"/>
        </w:rPr>
      </w:pPr>
      <w:r>
        <w:rPr>
          <w:rFonts w:eastAsia="PMingLiU"/>
          <w:szCs w:val="24"/>
          <w:lang w:eastAsia="zh-TW"/>
        </w:rPr>
        <w:t>“FFS” does not mean RAN4 will make a down-selection for the item. More other options can be proposed.</w:t>
      </w:r>
    </w:p>
    <w:p w14:paraId="59F08FFD">
      <w:pPr>
        <w:pStyle w:val="29"/>
        <w:numPr>
          <w:ilvl w:val="0"/>
          <w:numId w:val="6"/>
        </w:numPr>
        <w:spacing w:after="120"/>
        <w:ind w:left="720"/>
        <w:contextualSpacing w:val="0"/>
        <w:rPr>
          <w:lang w:eastAsia="zh-CN"/>
        </w:rPr>
      </w:pPr>
      <w:r>
        <w:rPr>
          <w:b/>
          <w:szCs w:val="24"/>
          <w:lang w:eastAsia="zh-CN"/>
        </w:rPr>
        <w:t>&lt; Tentative Agreement &gt;</w:t>
      </w:r>
      <w:r>
        <w:rPr>
          <w:szCs w:val="24"/>
          <w:lang w:eastAsia="zh-CN"/>
        </w:rPr>
        <w:t xml:space="preserve"> will be changed to &lt; Agreement &gt; if no comments are received.</w:t>
      </w:r>
    </w:p>
    <w:p w14:paraId="56A5D6F1">
      <w:pPr>
        <w:pStyle w:val="2"/>
        <w:numPr>
          <w:numId w:val="0"/>
        </w:numPr>
        <w:ind w:leftChars="0"/>
        <w:rPr>
          <w:rFonts w:eastAsiaTheme="minorEastAsia"/>
          <w:lang w:val="en-US" w:eastAsia="zh-CN"/>
        </w:rPr>
      </w:pPr>
      <w:r>
        <w:rPr>
          <w:rFonts w:hint="eastAsia" w:eastAsia="宋体"/>
          <w:lang w:val="en-US" w:eastAsia="zh-CN"/>
        </w:rPr>
        <w:t xml:space="preserve">1 </w:t>
      </w:r>
      <w:r>
        <w:rPr>
          <w:lang w:val="en-US" w:eastAsia="ja-JP"/>
        </w:rPr>
        <w:t>Topic #</w:t>
      </w:r>
      <w:r>
        <w:rPr>
          <w:rFonts w:hint="eastAsia" w:eastAsia="宋体"/>
          <w:lang w:val="en-US" w:eastAsia="zh-CN"/>
        </w:rPr>
        <w:t>1</w:t>
      </w:r>
      <w:r>
        <w:rPr>
          <w:lang w:val="en-US" w:eastAsia="ja-JP"/>
        </w:rPr>
        <w:t>: General consideration on RRM requirements</w:t>
      </w:r>
    </w:p>
    <w:p w14:paraId="4AB4B112">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1</w:t>
      </w:r>
      <w:r>
        <w:rPr>
          <w:rFonts w:ascii="Times New Roman" w:hAnsi="Times New Roman" w:cs="Times New Roman"/>
          <w:sz w:val="24"/>
          <w:szCs w:val="16"/>
        </w:rPr>
        <w:t>-</w:t>
      </w:r>
      <w:r>
        <w:rPr>
          <w:rFonts w:hint="eastAsia" w:ascii="Times New Roman" w:hAnsi="Times New Roman" w:cs="Times New Roman"/>
          <w:sz w:val="24"/>
          <w:szCs w:val="16"/>
        </w:rPr>
        <w:t>1</w:t>
      </w:r>
      <w:r>
        <w:rPr>
          <w:rFonts w:ascii="Times New Roman" w:hAnsi="Times New Roman" w:cs="Times New Roman"/>
          <w:sz w:val="24"/>
          <w:szCs w:val="16"/>
        </w:rPr>
        <w:t xml:space="preserve"> What RRM requirements are defined for (e)RedCap UE with FR1-NTN</w:t>
      </w:r>
    </w:p>
    <w:p w14:paraId="3935073E">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bookmarkStart w:id="9" w:name="OLE_LINK6"/>
      <w:bookmarkStart w:id="10" w:name="OLE_LINK5"/>
      <w:r>
        <w:rPr>
          <w:rFonts w:hint="eastAsia" w:ascii="Times New Roman" w:hAnsi="Times New Roman" w:cs="Times New Roman" w:eastAsiaTheme="minorEastAsia"/>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1</w:t>
      </w:r>
      <w:r>
        <w:rPr>
          <w:rFonts w:ascii="Times New Roman" w:hAnsi="Times New Roman" w:cs="Times New Roman"/>
          <w:sz w:val="20"/>
          <w:u w:val="single"/>
          <w:lang w:eastAsia="ko-KR"/>
        </w:rPr>
        <w:t>-1</w:t>
      </w:r>
      <w:bookmarkEnd w:id="9"/>
      <w:bookmarkEnd w:id="10"/>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 xml:space="preserve">Whether to define </w:t>
      </w:r>
      <w:r>
        <w:rPr>
          <w:rFonts w:ascii="Times New Roman" w:hAnsi="Times New Roman" w:cs="Times New Roman"/>
          <w:sz w:val="20"/>
          <w:u w:val="single"/>
        </w:rPr>
        <w:t>measurement requirement</w:t>
      </w:r>
      <w:r>
        <w:rPr>
          <w:rFonts w:hint="eastAsia" w:ascii="Times New Roman" w:hAnsi="Times New Roman" w:cs="Times New Roman"/>
          <w:sz w:val="20"/>
          <w:u w:val="single"/>
        </w:rPr>
        <w:t xml:space="preserve"> </w:t>
      </w:r>
      <w:r>
        <w:rPr>
          <w:rFonts w:ascii="Times New Roman" w:hAnsi="Times New Roman" w:cs="Times New Roman"/>
          <w:sz w:val="20"/>
          <w:u w:val="single"/>
        </w:rPr>
        <w:t>for inter-RAT (</w:t>
      </w:r>
      <w:r>
        <w:rPr>
          <w:rFonts w:hint="eastAsia" w:ascii="Times New Roman" w:hAnsi="Times New Roman" w:cs="Times New Roman"/>
          <w:sz w:val="20"/>
          <w:u w:val="single"/>
        </w:rPr>
        <w:t xml:space="preserve">NR </w:t>
      </w:r>
      <w:r>
        <w:rPr>
          <w:rFonts w:ascii="Times New Roman" w:hAnsi="Times New Roman" w:cs="Times New Roman"/>
          <w:sz w:val="20"/>
          <w:u w:val="single"/>
        </w:rPr>
        <w:t>NTN to E-UTRAN TN) in IDLE/INACITVE mode for (e)RedCap UE with FR1-NTN</w:t>
      </w:r>
      <w:r>
        <w:rPr>
          <w:rFonts w:hint="eastAsia" w:ascii="Times New Roman" w:hAnsi="Times New Roman" w:cs="Times New Roman"/>
          <w:sz w:val="20"/>
          <w:u w:val="single"/>
        </w:rPr>
        <w:t>?</w:t>
      </w:r>
    </w:p>
    <w:p w14:paraId="1B2C2C82">
      <w:pPr>
        <w:pStyle w:val="29"/>
        <w:numPr>
          <w:ilvl w:val="0"/>
          <w:numId w:val="6"/>
        </w:numPr>
        <w:spacing w:after="120"/>
        <w:ind w:left="720"/>
        <w:contextualSpacing w:val="0"/>
        <w:rPr>
          <w:rFonts w:ascii="Times New Roman" w:hAnsi="Times New Roman" w:cs="Times New Roman"/>
          <w:sz w:val="20"/>
          <w:szCs w:val="20"/>
        </w:rPr>
      </w:pPr>
      <w:r>
        <w:rPr>
          <w:rFonts w:hint="eastAsia" w:ascii="Times New Roman" w:hAnsi="Times New Roman" w:cs="Times New Roman"/>
          <w:sz w:val="20"/>
          <w:szCs w:val="20"/>
        </w:rPr>
        <w:t>Background</w:t>
      </w:r>
    </w:p>
    <w:p w14:paraId="3147F6C7">
      <w:pPr>
        <w:spacing w:after="120"/>
        <w:rPr>
          <w:rFonts w:ascii="Times New Roman" w:hAnsi="Times New Roman" w:cs="Times New Roman" w:eastAsiaTheme="minorEastAsia"/>
          <w:i/>
          <w:color w:val="0070C0"/>
          <w:sz w:val="20"/>
          <w:szCs w:val="20"/>
        </w:rPr>
      </w:pPr>
      <w:r>
        <w:rPr>
          <w:rFonts w:hint="eastAsia" w:ascii="Times New Roman" w:hAnsi="Times New Roman" w:cs="Times New Roman" w:eastAsiaTheme="minorEastAsia"/>
          <w:i/>
          <w:color w:val="0070C0"/>
          <w:sz w:val="20"/>
          <w:szCs w:val="20"/>
        </w:rPr>
        <w:t>The related agreement is copied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216C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CA0D221">
            <w:pPr>
              <w:spacing w:after="120"/>
              <w:rPr>
                <w:rFonts w:ascii="Times New Roman" w:hAnsi="Times New Roman" w:cs="Times New Roman" w:eastAsiaTheme="minorEastAsia"/>
                <w:b/>
                <w:i/>
                <w:color w:val="0070C0"/>
                <w:sz w:val="20"/>
                <w:szCs w:val="20"/>
              </w:rPr>
            </w:pPr>
            <w:r>
              <w:rPr>
                <w:rFonts w:hint="eastAsia" w:ascii="Times New Roman" w:hAnsi="Times New Roman" w:cs="Times New Roman" w:eastAsiaTheme="minorEastAsia"/>
                <w:b/>
                <w:i/>
                <w:color w:val="0070C0"/>
                <w:sz w:val="20"/>
                <w:szCs w:val="20"/>
              </w:rPr>
              <w:t>RAN4#112:</w:t>
            </w:r>
          </w:p>
          <w:p w14:paraId="3FC93DCA">
            <w:pPr>
              <w:numPr>
                <w:ilvl w:val="0"/>
                <w:numId w:val="6"/>
              </w:numPr>
              <w:spacing w:after="120"/>
              <w:rPr>
                <w:rFonts w:ascii="Times New Roman" w:hAnsi="Times New Roman" w:cs="Times New Roman" w:eastAsiaTheme="minorEastAsia"/>
                <w:i/>
                <w:color w:val="0070C0"/>
                <w:sz w:val="20"/>
                <w:szCs w:val="20"/>
              </w:rPr>
            </w:pPr>
            <w:r>
              <w:rPr>
                <w:rFonts w:hint="eastAsia" w:ascii="Times New Roman" w:hAnsi="Times New Roman" w:cs="Times New Roman" w:eastAsiaTheme="minorEastAsia"/>
                <w:i/>
                <w:color w:val="0070C0"/>
                <w:sz w:val="20"/>
                <w:szCs w:val="20"/>
              </w:rPr>
              <w:t>For t</w:t>
            </w:r>
            <w:r>
              <w:rPr>
                <w:rFonts w:ascii="Times New Roman" w:hAnsi="Times New Roman" w:cs="Times New Roman" w:eastAsiaTheme="minorEastAsia"/>
                <w:i/>
                <w:color w:val="0070C0"/>
                <w:sz w:val="20"/>
                <w:szCs w:val="20"/>
              </w:rPr>
              <w:t xml:space="preserve">he requirements </w:t>
            </w:r>
            <w:r>
              <w:rPr>
                <w:rFonts w:ascii="Times New Roman" w:hAnsi="Times New Roman" w:cs="Times New Roman" w:eastAsiaTheme="minorEastAsia"/>
                <w:i/>
                <w:color w:val="0070C0"/>
                <w:sz w:val="20"/>
                <w:szCs w:val="20"/>
                <w:highlight w:val="yellow"/>
              </w:rPr>
              <w:t xml:space="preserve">that have only been defined for </w:t>
            </w:r>
            <w:bookmarkStart w:id="11" w:name="OLE_LINK48"/>
            <w:bookmarkStart w:id="12" w:name="OLE_LINK49"/>
            <w:r>
              <w:rPr>
                <w:rFonts w:ascii="Times New Roman" w:hAnsi="Times New Roman" w:cs="Times New Roman" w:eastAsiaTheme="minorEastAsia"/>
                <w:i/>
                <w:color w:val="0070C0"/>
                <w:sz w:val="20"/>
                <w:szCs w:val="20"/>
                <w:highlight w:val="yellow"/>
              </w:rPr>
              <w:t xml:space="preserve">(e)Redcap </w:t>
            </w:r>
            <w:bookmarkEnd w:id="11"/>
            <w:bookmarkEnd w:id="12"/>
            <w:r>
              <w:rPr>
                <w:rFonts w:ascii="Times New Roman" w:hAnsi="Times New Roman" w:cs="Times New Roman" w:eastAsiaTheme="minorEastAsia"/>
                <w:i/>
                <w:color w:val="0070C0"/>
                <w:sz w:val="20"/>
                <w:szCs w:val="20"/>
                <w:highlight w:val="yellow"/>
              </w:rPr>
              <w:t>and not been defined for FR1-NTN</w:t>
            </w:r>
            <w:r>
              <w:rPr>
                <w:rFonts w:ascii="Times New Roman" w:hAnsi="Times New Roman" w:cs="Times New Roman" w:eastAsiaTheme="minorEastAsia"/>
                <w:i/>
                <w:color w:val="0070C0"/>
                <w:sz w:val="20"/>
                <w:szCs w:val="20"/>
              </w:rPr>
              <w:t xml:space="preserve">, </w:t>
            </w:r>
            <w:r>
              <w:rPr>
                <w:rFonts w:hint="eastAsia" w:ascii="Times New Roman" w:hAnsi="Times New Roman" w:cs="Times New Roman" w:eastAsiaTheme="minorEastAsia"/>
                <w:i/>
                <w:color w:val="0070C0"/>
                <w:sz w:val="20"/>
                <w:szCs w:val="20"/>
              </w:rPr>
              <w:t>RAN4</w:t>
            </w:r>
            <w:r>
              <w:rPr>
                <w:rFonts w:ascii="Times New Roman" w:hAnsi="Times New Roman" w:cs="Times New Roman" w:eastAsiaTheme="minorEastAsia"/>
                <w:i/>
                <w:color w:val="0070C0"/>
                <w:sz w:val="20"/>
                <w:szCs w:val="20"/>
              </w:rPr>
              <w:t xml:space="preserve"> </w:t>
            </w:r>
            <w:r>
              <w:rPr>
                <w:rFonts w:hint="eastAsia" w:ascii="Times New Roman" w:hAnsi="Times New Roman" w:cs="Times New Roman" w:eastAsiaTheme="minorEastAsia"/>
                <w:i/>
                <w:color w:val="0070C0"/>
                <w:sz w:val="20"/>
                <w:szCs w:val="20"/>
              </w:rPr>
              <w:t>NOT</w:t>
            </w:r>
            <w:r>
              <w:rPr>
                <w:rFonts w:ascii="Times New Roman" w:hAnsi="Times New Roman" w:cs="Times New Roman" w:eastAsiaTheme="minorEastAsia"/>
                <w:i/>
                <w:color w:val="0070C0"/>
                <w:sz w:val="20"/>
                <w:szCs w:val="20"/>
              </w:rPr>
              <w:t xml:space="preserve"> to define </w:t>
            </w:r>
            <w:r>
              <w:rPr>
                <w:rFonts w:hint="eastAsia" w:ascii="Times New Roman" w:hAnsi="Times New Roman" w:cs="Times New Roman" w:eastAsiaTheme="minorEastAsia"/>
                <w:i/>
                <w:color w:val="0070C0"/>
                <w:sz w:val="20"/>
                <w:szCs w:val="20"/>
              </w:rPr>
              <w:t xml:space="preserve">the following </w:t>
            </w:r>
            <w:r>
              <w:rPr>
                <w:rFonts w:ascii="Times New Roman" w:hAnsi="Times New Roman" w:cs="Times New Roman" w:eastAsiaTheme="minorEastAsia"/>
                <w:i/>
                <w:color w:val="0070C0"/>
                <w:sz w:val="20"/>
                <w:szCs w:val="20"/>
              </w:rPr>
              <w:t>requirement</w:t>
            </w:r>
            <w:r>
              <w:rPr>
                <w:rFonts w:hint="eastAsia" w:ascii="Times New Roman" w:hAnsi="Times New Roman" w:cs="Times New Roman" w:eastAsiaTheme="minorEastAsia"/>
                <w:i/>
                <w:color w:val="0070C0"/>
                <w:sz w:val="20"/>
                <w:szCs w:val="20"/>
              </w:rPr>
              <w:t>s</w:t>
            </w:r>
            <w:r>
              <w:rPr>
                <w:rFonts w:ascii="Times New Roman" w:hAnsi="Times New Roman" w:cs="Times New Roman" w:eastAsiaTheme="minorEastAsia"/>
                <w:i/>
                <w:color w:val="0070C0"/>
                <w:sz w:val="20"/>
                <w:szCs w:val="20"/>
              </w:rPr>
              <w:t xml:space="preserve"> for NTN (e)RedCap in Rel-19:</w:t>
            </w:r>
          </w:p>
          <w:p w14:paraId="11BED6A1">
            <w:pPr>
              <w:numPr>
                <w:ilvl w:val="1"/>
                <w:numId w:val="6"/>
              </w:numPr>
              <w:spacing w:after="120"/>
              <w:rPr>
                <w:rFonts w:ascii="Times New Roman" w:hAnsi="Times New Roman" w:cs="Times New Roman" w:eastAsiaTheme="minorEastAsia"/>
                <w:bCs/>
                <w:i/>
                <w:color w:val="0070C0"/>
                <w:sz w:val="20"/>
                <w:szCs w:val="20"/>
              </w:rPr>
            </w:pPr>
            <w:r>
              <w:rPr>
                <w:rFonts w:ascii="Times New Roman" w:hAnsi="Times New Roman" w:cs="Times New Roman" w:eastAsiaTheme="minorEastAsia"/>
                <w:bCs/>
                <w:i/>
                <w:color w:val="0070C0"/>
                <w:sz w:val="20"/>
                <w:szCs w:val="20"/>
              </w:rPr>
              <w:t>Inter-RAT measurements in idle/inactive/connected mode</w:t>
            </w:r>
          </w:p>
          <w:p w14:paraId="5B30A472">
            <w:pPr>
              <w:spacing w:after="120"/>
              <w:rPr>
                <w:rFonts w:ascii="Times New Roman" w:hAnsi="Times New Roman" w:cs="Times New Roman" w:eastAsiaTheme="minorEastAsia"/>
                <w:b/>
                <w:i/>
                <w:color w:val="0070C0"/>
                <w:sz w:val="20"/>
                <w:szCs w:val="20"/>
              </w:rPr>
            </w:pPr>
            <w:r>
              <w:rPr>
                <w:rFonts w:hint="eastAsia" w:ascii="Times New Roman" w:hAnsi="Times New Roman" w:cs="Times New Roman" w:eastAsiaTheme="minorEastAsia"/>
                <w:b/>
                <w:i/>
                <w:color w:val="0070C0"/>
                <w:sz w:val="20"/>
                <w:szCs w:val="20"/>
              </w:rPr>
              <w:t>RAN4#112-bis:</w:t>
            </w:r>
          </w:p>
          <w:p w14:paraId="7264D740">
            <w:pPr>
              <w:spacing w:after="120"/>
              <w:rPr>
                <w:rFonts w:ascii="Times New Roman" w:hAnsi="Times New Roman" w:cs="Times New Roman" w:eastAsiaTheme="minorEastAsia"/>
                <w:b/>
                <w:bCs/>
                <w:i/>
                <w:color w:val="0070C0"/>
                <w:sz w:val="20"/>
                <w:szCs w:val="20"/>
                <w:u w:val="single"/>
              </w:rPr>
            </w:pPr>
            <w:r>
              <w:rPr>
                <w:rFonts w:ascii="Times New Roman" w:hAnsi="Times New Roman" w:cs="Times New Roman" w:eastAsiaTheme="minorEastAsia"/>
                <w:b/>
                <w:bCs/>
                <w:i/>
                <w:color w:val="0070C0"/>
                <w:sz w:val="20"/>
                <w:szCs w:val="20"/>
                <w:u w:val="single"/>
              </w:rPr>
              <w:t>Issue 2-2-1:</w:t>
            </w:r>
            <w:bookmarkStart w:id="13" w:name="OLE_LINK18"/>
            <w:bookmarkStart w:id="14" w:name="OLE_LINK17"/>
            <w:r>
              <w:rPr>
                <w:rFonts w:ascii="Times New Roman" w:hAnsi="Times New Roman" w:cs="Times New Roman" w:eastAsiaTheme="minorEastAsia"/>
                <w:b/>
                <w:bCs/>
                <w:i/>
                <w:color w:val="0070C0"/>
                <w:sz w:val="20"/>
                <w:szCs w:val="20"/>
                <w:u w:val="single"/>
              </w:rPr>
              <w:t xml:space="preserve"> Further discussion on cell reselection requiremen</w:t>
            </w:r>
            <w:bookmarkEnd w:id="13"/>
            <w:bookmarkEnd w:id="14"/>
            <w:r>
              <w:rPr>
                <w:rFonts w:ascii="Times New Roman" w:hAnsi="Times New Roman" w:cs="Times New Roman" w:eastAsiaTheme="minorEastAsia"/>
                <w:b/>
                <w:bCs/>
                <w:i/>
                <w:color w:val="0070C0"/>
                <w:sz w:val="20"/>
                <w:szCs w:val="20"/>
                <w:u w:val="single"/>
              </w:rPr>
              <w:t>t for (e)RedCap UE with FR1-NTN</w:t>
            </w:r>
          </w:p>
          <w:p w14:paraId="62961B91">
            <w:pPr>
              <w:spacing w:after="120"/>
              <w:rPr>
                <w:rFonts w:ascii="Times New Roman" w:hAnsi="Times New Roman" w:cs="Times New Roman" w:eastAsiaTheme="minorEastAsia"/>
                <w:i/>
                <w:iCs/>
                <w:color w:val="0070C0"/>
                <w:sz w:val="20"/>
                <w:szCs w:val="20"/>
              </w:rPr>
            </w:pPr>
            <w:r>
              <w:rPr>
                <w:rFonts w:hint="eastAsia" w:ascii="Times New Roman" w:hAnsi="Times New Roman" w:cs="Times New Roman" w:eastAsiaTheme="minorEastAsia"/>
                <w:i/>
                <w:iCs/>
                <w:color w:val="0070C0"/>
                <w:sz w:val="20"/>
                <w:szCs w:val="20"/>
              </w:rPr>
              <w:t>O</w:t>
            </w:r>
            <w:r>
              <w:rPr>
                <w:rFonts w:ascii="Times New Roman" w:hAnsi="Times New Roman" w:cs="Times New Roman" w:eastAsiaTheme="minorEastAsia"/>
                <w:i/>
                <w:iCs/>
                <w:color w:val="0070C0"/>
                <w:sz w:val="20"/>
                <w:szCs w:val="20"/>
              </w:rPr>
              <w:t>nline agreement</w:t>
            </w:r>
          </w:p>
          <w:p w14:paraId="04FAC2E6">
            <w:pPr>
              <w:spacing w:after="120"/>
              <w:rPr>
                <w:rFonts w:ascii="Times New Roman" w:hAnsi="Times New Roman" w:cs="Times New Roman" w:eastAsiaTheme="minorEastAsia"/>
                <w:i/>
                <w:iCs/>
                <w:color w:val="0070C0"/>
                <w:sz w:val="20"/>
                <w:szCs w:val="20"/>
              </w:rPr>
            </w:pPr>
            <w:r>
              <w:rPr>
                <w:rFonts w:hint="eastAsia" w:ascii="Times New Roman" w:hAnsi="Times New Roman" w:cs="Times New Roman" w:eastAsiaTheme="minorEastAsia"/>
                <w:i/>
                <w:iCs/>
                <w:color w:val="0070C0"/>
                <w:sz w:val="20"/>
                <w:szCs w:val="20"/>
              </w:rPr>
              <w:t>&lt;</w:t>
            </w:r>
            <w:r>
              <w:rPr>
                <w:rFonts w:ascii="Times New Roman" w:hAnsi="Times New Roman" w:cs="Times New Roman" w:eastAsiaTheme="minorEastAsia"/>
                <w:i/>
                <w:iCs/>
                <w:color w:val="0070C0"/>
                <w:sz w:val="20"/>
                <w:szCs w:val="20"/>
              </w:rPr>
              <w:t>Agreement</w:t>
            </w:r>
            <w:r>
              <w:rPr>
                <w:rFonts w:hint="eastAsia" w:ascii="Times New Roman" w:hAnsi="Times New Roman" w:cs="Times New Roman" w:eastAsiaTheme="minorEastAsia"/>
                <w:i/>
                <w:iCs/>
                <w:color w:val="0070C0"/>
                <w:sz w:val="20"/>
                <w:szCs w:val="20"/>
              </w:rPr>
              <w:t>&gt;</w:t>
            </w:r>
            <w:r>
              <w:rPr>
                <w:rFonts w:ascii="Times New Roman" w:hAnsi="Times New Roman" w:cs="Times New Roman" w:eastAsiaTheme="minorEastAsia"/>
                <w:i/>
                <w:iCs/>
                <w:color w:val="0070C0"/>
                <w:sz w:val="20"/>
                <w:szCs w:val="20"/>
              </w:rPr>
              <w:t>:</w:t>
            </w:r>
          </w:p>
          <w:p w14:paraId="3A66BF95">
            <w:pPr>
              <w:numPr>
                <w:ilvl w:val="0"/>
                <w:numId w:val="6"/>
              </w:numPr>
              <w:spacing w:after="120"/>
              <w:rPr>
                <w:rFonts w:ascii="Times New Roman" w:hAnsi="Times New Roman" w:cs="Times New Roman" w:eastAsiaTheme="minorEastAsia"/>
                <w:i/>
                <w:color w:val="0070C0"/>
                <w:sz w:val="20"/>
                <w:szCs w:val="20"/>
              </w:rPr>
            </w:pPr>
            <w:r>
              <w:rPr>
                <w:rFonts w:ascii="Times New Roman" w:hAnsi="Times New Roman" w:cs="Times New Roman" w:eastAsiaTheme="minorEastAsia"/>
                <w:i/>
                <w:color w:val="0070C0"/>
                <w:sz w:val="20"/>
                <w:szCs w:val="20"/>
              </w:rPr>
              <w:t>The existing cell reselection requirements in RRC_IDLE/RRC_INACTIVE state defined for Rel-17 and Rel-18 (e)NTN can be the baseline for (e)RedCap 2Rx UE with FR1-NTN bands.</w:t>
            </w:r>
          </w:p>
          <w:p w14:paraId="531E839E">
            <w:pPr>
              <w:numPr>
                <w:ilvl w:val="1"/>
                <w:numId w:val="6"/>
              </w:numPr>
              <w:spacing w:after="120"/>
              <w:rPr>
                <w:rFonts w:ascii="Times New Roman" w:hAnsi="Times New Roman" w:cs="Times New Roman" w:eastAsiaTheme="minorEastAsia"/>
                <w:bCs/>
                <w:i/>
                <w:color w:val="0070C0"/>
                <w:sz w:val="20"/>
                <w:szCs w:val="20"/>
              </w:rPr>
            </w:pPr>
            <w:r>
              <w:rPr>
                <w:rFonts w:ascii="Times New Roman" w:hAnsi="Times New Roman" w:cs="Times New Roman" w:eastAsiaTheme="minorEastAsia"/>
                <w:bCs/>
                <w:i/>
                <w:color w:val="0070C0"/>
                <w:sz w:val="20"/>
                <w:szCs w:val="20"/>
              </w:rPr>
              <w:t>Both time-based and location-based cell reselection measurement criteria will be defined.</w:t>
            </w:r>
          </w:p>
          <w:p w14:paraId="0B386EBB">
            <w:pPr>
              <w:numPr>
                <w:ilvl w:val="2"/>
                <w:numId w:val="6"/>
              </w:numPr>
              <w:spacing w:after="120"/>
              <w:rPr>
                <w:rFonts w:ascii="Times New Roman" w:hAnsi="Times New Roman" w:cs="Times New Roman" w:eastAsiaTheme="minorEastAsia"/>
                <w:i/>
                <w:iCs/>
                <w:color w:val="0070C0"/>
                <w:sz w:val="20"/>
                <w:szCs w:val="20"/>
              </w:rPr>
            </w:pPr>
            <w:r>
              <w:rPr>
                <w:rFonts w:ascii="Times New Roman" w:hAnsi="Times New Roman" w:cs="Times New Roman" w:eastAsiaTheme="minorEastAsia"/>
                <w:i/>
                <w:iCs/>
                <w:color w:val="0070C0"/>
                <w:sz w:val="20"/>
                <w:szCs w:val="20"/>
              </w:rPr>
              <w:t>For both earth fixed and earth moving scenario</w:t>
            </w:r>
          </w:p>
          <w:p w14:paraId="70A2D04A">
            <w:pPr>
              <w:numPr>
                <w:ilvl w:val="1"/>
                <w:numId w:val="6"/>
              </w:numPr>
              <w:spacing w:after="120"/>
              <w:rPr>
                <w:rFonts w:ascii="Times New Roman" w:hAnsi="Times New Roman" w:cs="Times New Roman" w:eastAsiaTheme="minorEastAsia"/>
                <w:bCs/>
                <w:i/>
                <w:color w:val="0070C0"/>
                <w:sz w:val="20"/>
                <w:szCs w:val="20"/>
              </w:rPr>
            </w:pPr>
            <w:r>
              <w:rPr>
                <w:rFonts w:ascii="Times New Roman" w:hAnsi="Times New Roman" w:cs="Times New Roman" w:eastAsiaTheme="minorEastAsia"/>
                <w:bCs/>
                <w:i/>
                <w:color w:val="0070C0"/>
                <w:sz w:val="20"/>
                <w:szCs w:val="20"/>
              </w:rPr>
              <w:t>Both NTN-NTN and NTN-TN (from NTN to TN and from TN to NTN) cell reselection requirements will be defined.</w:t>
            </w:r>
          </w:p>
          <w:p w14:paraId="0AC24DBC">
            <w:pPr>
              <w:numPr>
                <w:ilvl w:val="1"/>
                <w:numId w:val="6"/>
              </w:numPr>
              <w:spacing w:after="120"/>
              <w:rPr>
                <w:rFonts w:ascii="Times New Roman" w:hAnsi="Times New Roman" w:cs="Times New Roman" w:eastAsiaTheme="minorEastAsia"/>
                <w:bCs/>
                <w:i/>
                <w:color w:val="0070C0"/>
                <w:sz w:val="20"/>
                <w:szCs w:val="20"/>
              </w:rPr>
            </w:pPr>
            <w:r>
              <w:rPr>
                <w:rFonts w:ascii="Times New Roman" w:hAnsi="Times New Roman" w:cs="Times New Roman" w:eastAsiaTheme="minorEastAsia"/>
                <w:bCs/>
                <w:i/>
                <w:color w:val="0070C0"/>
                <w:sz w:val="20"/>
                <w:szCs w:val="20"/>
              </w:rPr>
              <w:t>FFS</w:t>
            </w:r>
            <w:r>
              <w:rPr>
                <w:rFonts w:hint="eastAsia" w:ascii="Times New Roman" w:hAnsi="Times New Roman" w:cs="Times New Roman" w:eastAsiaTheme="minorEastAsia"/>
                <w:bCs/>
                <w:i/>
                <w:color w:val="0070C0"/>
                <w:sz w:val="20"/>
                <w:szCs w:val="20"/>
              </w:rPr>
              <w:t xml:space="preserve"> for t</w:t>
            </w:r>
            <w:r>
              <w:rPr>
                <w:rFonts w:ascii="Times New Roman" w:hAnsi="Times New Roman" w:cs="Times New Roman" w:eastAsiaTheme="minorEastAsia"/>
                <w:bCs/>
                <w:i/>
                <w:color w:val="0070C0"/>
                <w:sz w:val="20"/>
                <w:szCs w:val="20"/>
              </w:rPr>
              <w:t>he measurement requirements for inter-RAT (NTN to E-UTRA TN) measurement.</w:t>
            </w:r>
          </w:p>
        </w:tc>
      </w:tr>
    </w:tbl>
    <w:p w14:paraId="0F9D8719">
      <w:pPr>
        <w:spacing w:before="120" w:after="120"/>
        <w:rPr>
          <w:rFonts w:ascii="Times New Roman" w:hAnsi="Times New Roman" w:cs="Times New Roman" w:eastAsiaTheme="minorEastAsia"/>
          <w:i/>
          <w:color w:val="0070C0"/>
          <w:sz w:val="20"/>
          <w:szCs w:val="20"/>
        </w:rPr>
      </w:pPr>
      <w:r>
        <w:rPr>
          <w:rFonts w:hint="eastAsia" w:ascii="Times New Roman" w:hAnsi="Times New Roman" w:cs="Times New Roman" w:eastAsiaTheme="minorEastAsia"/>
          <w:i/>
          <w:color w:val="0070C0"/>
          <w:sz w:val="20"/>
          <w:szCs w:val="20"/>
        </w:rPr>
        <w:t xml:space="preserve">Since companies had different understandings for the agreement reached in RAN4#112 meeting, and some companies think that </w:t>
      </w:r>
      <w:r>
        <w:rPr>
          <w:rFonts w:ascii="Times New Roman" w:hAnsi="Times New Roman" w:cs="Times New Roman" w:eastAsiaTheme="minorEastAsia"/>
          <w:bCs/>
          <w:i/>
          <w:color w:val="0070C0"/>
          <w:sz w:val="20"/>
          <w:szCs w:val="20"/>
        </w:rPr>
        <w:t>inter-RAT (NTN to E-UTRA TN) measurement</w:t>
      </w:r>
      <w:r>
        <w:rPr>
          <w:rFonts w:hint="eastAsia" w:ascii="Times New Roman" w:hAnsi="Times New Roman" w:cs="Times New Roman" w:eastAsiaTheme="minorEastAsia"/>
          <w:bCs/>
          <w:i/>
          <w:color w:val="0070C0"/>
          <w:sz w:val="20"/>
          <w:szCs w:val="20"/>
        </w:rPr>
        <w:t xml:space="preserve"> </w:t>
      </w:r>
      <w:r>
        <w:rPr>
          <w:rFonts w:ascii="Times New Roman" w:hAnsi="Times New Roman" w:cs="Times New Roman" w:eastAsiaTheme="minorEastAsia"/>
          <w:bCs/>
          <w:i/>
          <w:color w:val="0070C0"/>
          <w:sz w:val="20"/>
          <w:szCs w:val="20"/>
        </w:rPr>
        <w:t>in idle/inactive</w:t>
      </w:r>
      <w:r>
        <w:rPr>
          <w:rFonts w:hint="eastAsia" w:ascii="Times New Roman" w:hAnsi="Times New Roman" w:cs="Times New Roman" w:eastAsiaTheme="minorEastAsia"/>
          <w:bCs/>
          <w:i/>
          <w:color w:val="0070C0"/>
          <w:sz w:val="20"/>
          <w:szCs w:val="20"/>
        </w:rPr>
        <w:t xml:space="preserve"> are not only defin</w:t>
      </w:r>
      <w:r>
        <w:rPr>
          <w:rFonts w:hint="eastAsia" w:ascii="Times New Roman" w:hAnsi="Times New Roman" w:cs="Times New Roman" w:eastAsiaTheme="minorEastAsia"/>
          <w:i/>
          <w:color w:val="0070C0"/>
          <w:sz w:val="20"/>
          <w:szCs w:val="20"/>
        </w:rPr>
        <w:t xml:space="preserve">ed for </w:t>
      </w:r>
      <w:r>
        <w:rPr>
          <w:rFonts w:ascii="Times New Roman" w:hAnsi="Times New Roman" w:cs="Times New Roman" w:eastAsiaTheme="minorEastAsia"/>
          <w:i/>
          <w:color w:val="0070C0"/>
          <w:sz w:val="20"/>
          <w:szCs w:val="20"/>
        </w:rPr>
        <w:t>(e)Red</w:t>
      </w:r>
      <w:r>
        <w:rPr>
          <w:rFonts w:hint="eastAsia" w:ascii="Times New Roman" w:hAnsi="Times New Roman" w:cs="Times New Roman" w:eastAsiaTheme="minorEastAsia"/>
          <w:i/>
          <w:color w:val="0070C0"/>
          <w:sz w:val="20"/>
          <w:szCs w:val="20"/>
        </w:rPr>
        <w:t>C</w:t>
      </w:r>
      <w:r>
        <w:rPr>
          <w:rFonts w:ascii="Times New Roman" w:hAnsi="Times New Roman" w:cs="Times New Roman" w:eastAsiaTheme="minorEastAsia"/>
          <w:i/>
          <w:color w:val="0070C0"/>
          <w:sz w:val="20"/>
          <w:szCs w:val="20"/>
        </w:rPr>
        <w:t>ap</w:t>
      </w:r>
      <w:r>
        <w:rPr>
          <w:rFonts w:hint="eastAsia" w:ascii="Times New Roman" w:hAnsi="Times New Roman" w:cs="Times New Roman" w:eastAsiaTheme="minorEastAsia"/>
          <w:i/>
          <w:color w:val="0070C0"/>
          <w:sz w:val="20"/>
          <w:szCs w:val="20"/>
        </w:rPr>
        <w:t xml:space="preserve"> with TN but also defined for normal UE with NTN (TS 38.133 clause </w:t>
      </w:r>
      <w:r>
        <w:rPr>
          <w:rFonts w:ascii="Times New Roman" w:hAnsi="Times New Roman" w:cs="Times New Roman" w:eastAsiaTheme="minorEastAsia"/>
          <w:i/>
          <w:color w:val="0070C0"/>
          <w:sz w:val="20"/>
          <w:szCs w:val="20"/>
        </w:rPr>
        <w:t>4.2C.2.11</w:t>
      </w:r>
      <w:r>
        <w:rPr>
          <w:rFonts w:hint="eastAsia" w:ascii="Times New Roman" w:hAnsi="Times New Roman" w:cs="Times New Roman" w:eastAsiaTheme="minorEastAsia"/>
          <w:i/>
          <w:color w:val="0070C0"/>
          <w:sz w:val="20"/>
          <w:szCs w:val="20"/>
        </w:rPr>
        <w:t>), so this issue need to be further revisited.</w:t>
      </w:r>
    </w:p>
    <w:p w14:paraId="2000DA8E">
      <w:pPr>
        <w:spacing w:after="120"/>
        <w:rPr>
          <w:rFonts w:ascii="Times New Roman" w:hAnsi="Times New Roman" w:cs="Times New Roman" w:eastAsiaTheme="minorEastAsia"/>
          <w:i/>
          <w:color w:val="0070C0"/>
          <w:sz w:val="20"/>
          <w:szCs w:val="20"/>
        </w:rPr>
      </w:pPr>
      <w:r>
        <w:rPr>
          <w:rFonts w:hint="eastAsia" w:ascii="Times New Roman" w:hAnsi="Times New Roman" w:cs="Times New Roman" w:eastAsiaTheme="minorEastAsia"/>
          <w:i/>
          <w:color w:val="0070C0"/>
          <w:sz w:val="20"/>
          <w:szCs w:val="20"/>
        </w:rPr>
        <w:t xml:space="preserve">This issue </w:t>
      </w:r>
      <w:r>
        <w:rPr>
          <w:rFonts w:hint="eastAsia" w:ascii="Times New Roman" w:hAnsi="Times New Roman" w:cs="Times New Roman" w:eastAsiaTheme="minorEastAsia"/>
          <w:i/>
          <w:color w:val="0070C0"/>
          <w:sz w:val="20"/>
          <w:szCs w:val="20"/>
          <w:highlight w:val="yellow"/>
        </w:rPr>
        <w:t>only about whether to define</w:t>
      </w:r>
      <w:r>
        <w:rPr>
          <w:rFonts w:hint="eastAsia" w:ascii="Times New Roman" w:hAnsi="Times New Roman" w:cs="Times New Roman" w:eastAsiaTheme="minorEastAsia"/>
          <w:i/>
          <w:color w:val="0070C0"/>
          <w:sz w:val="20"/>
          <w:szCs w:val="20"/>
        </w:rPr>
        <w:t xml:space="preserve"> the related </w:t>
      </w:r>
      <w:r>
        <w:rPr>
          <w:rFonts w:ascii="Times New Roman" w:hAnsi="Times New Roman" w:cs="Times New Roman" w:eastAsiaTheme="minorEastAsia"/>
          <w:i/>
          <w:color w:val="0070C0"/>
          <w:sz w:val="20"/>
          <w:szCs w:val="20"/>
        </w:rPr>
        <w:t>requirement</w:t>
      </w:r>
      <w:r>
        <w:rPr>
          <w:rFonts w:hint="eastAsia" w:ascii="Times New Roman" w:hAnsi="Times New Roman" w:cs="Times New Roman" w:eastAsiaTheme="minorEastAsia"/>
          <w:i/>
          <w:color w:val="0070C0"/>
          <w:sz w:val="20"/>
          <w:szCs w:val="20"/>
        </w:rPr>
        <w:t xml:space="preserve">s and how to define them for 1Rx/2Rx will be discussed in issue 2-1-1. </w:t>
      </w:r>
    </w:p>
    <w:p w14:paraId="607D98A3">
      <w:pPr>
        <w:rPr>
          <w:b/>
          <w:lang w:eastAsia="zh-CN"/>
        </w:rPr>
      </w:pPr>
      <w:r>
        <w:rPr>
          <w:b/>
        </w:rPr>
        <w:t>&lt;Way Forward&gt;</w:t>
      </w:r>
      <w:r>
        <w:rPr>
          <w:rFonts w:hint="eastAsia"/>
          <w:b/>
          <w:lang w:eastAsia="zh-CN"/>
        </w:rPr>
        <w:t>:</w:t>
      </w:r>
    </w:p>
    <w:p w14:paraId="7CB4B2E2">
      <w:pPr>
        <w:pStyle w:val="29"/>
        <w:numPr>
          <w:ilvl w:val="1"/>
          <w:numId w:val="6"/>
        </w:numPr>
        <w:ind w:left="1655" w:hanging="357"/>
        <w:contextualSpacing w:val="0"/>
        <w:rPr>
          <w:rFonts w:ascii="Times New Roman" w:hAnsi="Times New Roman" w:cs="Times New Roman"/>
          <w:sz w:val="20"/>
          <w:szCs w:val="20"/>
        </w:rPr>
      </w:pPr>
      <w:r>
        <w:rPr>
          <w:rFonts w:ascii="Times New Roman" w:hAnsi="Times New Roman" w:cs="Times New Roman"/>
          <w:sz w:val="20"/>
          <w:szCs w:val="20"/>
        </w:rPr>
        <w:t>Proposal 1 (</w:t>
      </w:r>
      <w:r>
        <w:rPr>
          <w:rFonts w:hint="eastAsia" w:ascii="Times New Roman" w:hAnsi="Times New Roman" w:cs="Times New Roman"/>
          <w:sz w:val="20"/>
          <w:szCs w:val="20"/>
        </w:rPr>
        <w:t xml:space="preserve">CATT, Xiaomi, LG, Samsung CMCC, Apple, </w:t>
      </w:r>
      <w:r>
        <w:rPr>
          <w:rFonts w:ascii="Times New Roman" w:hAnsi="Times New Roman" w:cs="Times New Roman"/>
          <w:sz w:val="20"/>
          <w:szCs w:val="20"/>
        </w:rPr>
        <w:t>Ericsson</w:t>
      </w:r>
      <w:r>
        <w:rPr>
          <w:rFonts w:hint="eastAsia" w:ascii="Times New Roman" w:hAnsi="Times New Roman" w:cs="Times New Roman"/>
          <w:sz w:val="20"/>
          <w:szCs w:val="20"/>
        </w:rPr>
        <w:t>, HW, ZTE</w:t>
      </w:r>
      <w:r>
        <w:rPr>
          <w:rFonts w:ascii="Times New Roman" w:hAnsi="Times New Roman" w:cs="Times New Roman"/>
          <w:sz w:val="20"/>
          <w:szCs w:val="20"/>
        </w:rPr>
        <w:t xml:space="preserve">): </w:t>
      </w:r>
    </w:p>
    <w:p w14:paraId="48540C00">
      <w:pPr>
        <w:pStyle w:val="29"/>
        <w:numPr>
          <w:ilvl w:val="2"/>
          <w:numId w:val="6"/>
        </w:numPr>
        <w:spacing w:after="120"/>
        <w:contextualSpacing w:val="0"/>
        <w:rPr>
          <w:rFonts w:ascii="Times New Roman" w:hAnsi="Times New Roman" w:cs="Times New Roman"/>
          <w:sz w:val="20"/>
          <w:szCs w:val="20"/>
        </w:rPr>
      </w:pPr>
      <w:r>
        <w:rPr>
          <w:rFonts w:hint="eastAsia" w:ascii="Times New Roman" w:hAnsi="Times New Roman" w:cs="Times New Roman"/>
          <w:sz w:val="20"/>
          <w:szCs w:val="20"/>
        </w:rPr>
        <w:t>RAN4 to define measurement requirements for inter-RAT (NTN to E-UTRAN TN) measurement in IDLE/INACITVE mode for (e)RedCap UE with FR1-NTN.</w:t>
      </w:r>
    </w:p>
    <w:p w14:paraId="46CF0619">
      <w:pPr>
        <w:pStyle w:val="29"/>
        <w:numPr>
          <w:ilvl w:val="1"/>
          <w:numId w:val="6"/>
        </w:numPr>
        <w:spacing w:after="120"/>
        <w:rPr>
          <w:rFonts w:ascii="Times New Roman" w:hAnsi="Times New Roman" w:cs="Times New Roman"/>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2</w:t>
      </w:r>
      <w:r>
        <w:rPr>
          <w:rFonts w:ascii="Times New Roman" w:hAnsi="Times New Roman" w:cs="Times New Roman"/>
          <w:sz w:val="20"/>
          <w:szCs w:val="20"/>
        </w:rPr>
        <w:t xml:space="preserve"> (</w:t>
      </w:r>
      <w:r>
        <w:rPr>
          <w:rFonts w:hint="eastAsia" w:ascii="Times New Roman" w:hAnsi="Times New Roman" w:cs="Times New Roman"/>
          <w:sz w:val="20"/>
          <w:szCs w:val="20"/>
        </w:rPr>
        <w:t>vivo</w:t>
      </w:r>
      <w:r>
        <w:rPr>
          <w:rFonts w:ascii="Times New Roman" w:hAnsi="Times New Roman" w:cs="Times New Roman"/>
          <w:sz w:val="20"/>
          <w:szCs w:val="20"/>
        </w:rPr>
        <w:t xml:space="preserve">): </w:t>
      </w:r>
    </w:p>
    <w:p w14:paraId="4ACF22C3">
      <w:pPr>
        <w:pStyle w:val="29"/>
        <w:numPr>
          <w:ilvl w:val="2"/>
          <w:numId w:val="6"/>
        </w:numPr>
        <w:spacing w:after="120"/>
        <w:contextualSpacing w:val="0"/>
        <w:rPr>
          <w:rFonts w:ascii="Times New Roman" w:hAnsi="Times New Roman" w:cs="Times New Roman"/>
          <w:sz w:val="20"/>
          <w:szCs w:val="20"/>
        </w:rPr>
      </w:pPr>
      <w:r>
        <w:rPr>
          <w:rFonts w:ascii="Times New Roman" w:hAnsi="Times New Roman" w:cs="Times New Roman"/>
          <w:sz w:val="20"/>
          <w:szCs w:val="20"/>
        </w:rPr>
        <w:t>RAN4 not to define the measurement requirements for inter-RAT (NTN to E-UTRA TN) measurement.</w:t>
      </w:r>
    </w:p>
    <w:p w14:paraId="0E97C15A">
      <w:pPr>
        <w:pStyle w:val="29"/>
        <w:numPr>
          <w:ilvl w:val="0"/>
          <w:numId w:val="0"/>
        </w:numPr>
        <w:spacing w:after="120"/>
        <w:ind w:left="2016" w:leftChars="0"/>
        <w:contextualSpacing w:val="0"/>
        <w:rPr>
          <w:rFonts w:ascii="Times New Roman" w:hAnsi="Times New Roman" w:cs="Times New Roman"/>
          <w:sz w:val="20"/>
          <w:szCs w:val="20"/>
        </w:rPr>
      </w:pPr>
    </w:p>
    <w:p w14:paraId="2E791BDE">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hint="eastAsia" w:ascii="Times New Roman" w:hAnsi="Times New Roman" w:cs="Times New Roman" w:eastAsiaTheme="minorEastAsia"/>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 xml:space="preserve">The </w:t>
      </w:r>
      <w:r>
        <w:rPr>
          <w:rFonts w:ascii="Times New Roman" w:hAnsi="Times New Roman" w:cs="Times New Roman"/>
          <w:sz w:val="20"/>
          <w:u w:val="single"/>
          <w:lang w:eastAsia="ko-KR"/>
        </w:rPr>
        <w:t>Requirements to be further determined</w:t>
      </w:r>
    </w:p>
    <w:p w14:paraId="7C5CAA03">
      <w:pPr>
        <w:rPr>
          <w:b/>
          <w:lang w:eastAsia="zh-CN"/>
        </w:rPr>
      </w:pPr>
      <w:r>
        <w:rPr>
          <w:b/>
        </w:rPr>
        <w:t>&lt;Way Forward&gt;</w:t>
      </w:r>
      <w:r>
        <w:rPr>
          <w:rFonts w:hint="eastAsia"/>
          <w:b/>
          <w:lang w:eastAsia="zh-CN"/>
        </w:rPr>
        <w:t>:</w:t>
      </w:r>
    </w:p>
    <w:p w14:paraId="7752766F">
      <w:pPr>
        <w:pStyle w:val="29"/>
        <w:numPr>
          <w:ilvl w:val="1"/>
          <w:numId w:val="6"/>
        </w:numPr>
        <w:spacing w:after="120"/>
        <w:contextualSpacing w:val="0"/>
        <w:rPr>
          <w:rFonts w:ascii="Times New Roman" w:hAnsi="Times New Roman" w:cs="Times New Roman"/>
          <w:sz w:val="20"/>
          <w:szCs w:val="20"/>
        </w:rPr>
      </w:pPr>
      <w:r>
        <w:rPr>
          <w:rFonts w:hint="eastAsia" w:ascii="Times New Roman" w:hAnsi="Times New Roman" w:cs="Times New Roman"/>
          <w:sz w:val="20"/>
          <w:szCs w:val="20"/>
        </w:rPr>
        <w:t xml:space="preserve">For SDT </w:t>
      </w:r>
      <w:r>
        <w:rPr>
          <w:rFonts w:ascii="Times New Roman" w:hAnsi="Times New Roman" w:cs="Times New Roman"/>
          <w:sz w:val="20"/>
          <w:szCs w:val="20"/>
        </w:rPr>
        <w:t>requirements</w:t>
      </w:r>
      <w:r>
        <w:rPr>
          <w:rFonts w:hint="eastAsia" w:ascii="Times New Roman" w:hAnsi="Times New Roman" w:cs="Times New Roman"/>
          <w:sz w:val="20"/>
          <w:szCs w:val="20"/>
        </w:rPr>
        <w:t xml:space="preserve"> </w:t>
      </w:r>
      <w:r>
        <w:rPr>
          <w:rFonts w:ascii="Times New Roman" w:hAnsi="Times New Roman" w:cs="Times New Roman"/>
          <w:sz w:val="20"/>
          <w:szCs w:val="20"/>
        </w:rPr>
        <w:t>in</w:t>
      </w:r>
      <w:r>
        <w:rPr>
          <w:rFonts w:hint="eastAsia" w:ascii="Times New Roman" w:hAnsi="Times New Roman" w:cs="Times New Roman"/>
          <w:sz w:val="20"/>
          <w:szCs w:val="20"/>
        </w:rPr>
        <w:t xml:space="preserve"> </w:t>
      </w:r>
      <w:r>
        <w:rPr>
          <w:rFonts w:ascii="Times New Roman" w:hAnsi="Times New Roman" w:cs="Times New Roman"/>
          <w:sz w:val="20"/>
          <w:szCs w:val="20"/>
        </w:rPr>
        <w:t>RRC_INACTIVE state</w:t>
      </w:r>
      <w:r>
        <w:rPr>
          <w:rFonts w:hint="eastAsia" w:ascii="Times New Roman" w:hAnsi="Times New Roman" w:cs="Times New Roman"/>
          <w:sz w:val="20"/>
          <w:szCs w:val="20"/>
        </w:rPr>
        <w:t>,</w:t>
      </w:r>
    </w:p>
    <w:p w14:paraId="762CB839">
      <w:pPr>
        <w:pStyle w:val="29"/>
        <w:numPr>
          <w:ilvl w:val="2"/>
          <w:numId w:val="6"/>
        </w:numPr>
        <w:spacing w:after="120"/>
        <w:ind w:hanging="357"/>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rPr>
        <w:t>Proposal</w:t>
      </w:r>
      <w:r>
        <w:rPr>
          <w:rFonts w:ascii="Times New Roman" w:hAnsi="Times New Roman" w:cs="Times New Roman"/>
          <w:sz w:val="20"/>
          <w:szCs w:val="20"/>
          <w:lang w:val="en-GB"/>
        </w:rPr>
        <w:t xml:space="preserve"> </w:t>
      </w:r>
      <w:r>
        <w:rPr>
          <w:rFonts w:hint="eastAsia" w:ascii="Times New Roman" w:hAnsi="Times New Roman" w:cs="Times New Roman"/>
          <w:sz w:val="20"/>
          <w:szCs w:val="20"/>
          <w:lang w:val="en-GB"/>
        </w:rPr>
        <w:t>1 (CATT, QC, OPPO, HW)</w:t>
      </w:r>
      <w:r>
        <w:rPr>
          <w:rFonts w:ascii="Times New Roman" w:hAnsi="Times New Roman" w:cs="Times New Roman"/>
          <w:sz w:val="20"/>
          <w:szCs w:val="20"/>
          <w:lang w:val="en-GB"/>
        </w:rPr>
        <w:t xml:space="preserve">: RAN4 to </w:t>
      </w:r>
      <w:r>
        <w:rPr>
          <w:rFonts w:ascii="Times New Roman" w:hAnsi="Times New Roman" w:cs="Times New Roman"/>
          <w:sz w:val="21"/>
          <w:szCs w:val="22"/>
          <w:lang w:val="en-GB"/>
        </w:rPr>
        <w:t>remove</w:t>
      </w:r>
      <w:r>
        <w:rPr>
          <w:rFonts w:ascii="Times New Roman" w:hAnsi="Times New Roman" w:cs="Times New Roman"/>
          <w:sz w:val="20"/>
          <w:szCs w:val="20"/>
          <w:lang w:val="en-GB"/>
        </w:rPr>
        <w:t xml:space="preserve"> the RSRP-based TA validation in </w:t>
      </w:r>
      <w:r>
        <w:rPr>
          <w:rFonts w:hint="eastAsia" w:ascii="Times New Roman" w:hAnsi="Times New Roman" w:cs="Times New Roman"/>
          <w:sz w:val="20"/>
          <w:szCs w:val="20"/>
        </w:rPr>
        <w:t>CG-</w:t>
      </w:r>
      <w:r>
        <w:rPr>
          <w:rFonts w:ascii="Times New Roman" w:hAnsi="Times New Roman" w:cs="Times New Roman"/>
          <w:sz w:val="20"/>
          <w:szCs w:val="20"/>
          <w:lang w:val="en-GB"/>
        </w:rPr>
        <w:t>SDT RRM requirements</w:t>
      </w:r>
      <w:r>
        <w:rPr>
          <w:rFonts w:hint="eastAsia" w:ascii="Times New Roman" w:hAnsi="Times New Roman" w:cs="Times New Roman"/>
          <w:sz w:val="20"/>
          <w:szCs w:val="20"/>
          <w:lang w:val="en-GB"/>
        </w:rPr>
        <w:t>.</w:t>
      </w:r>
    </w:p>
    <w:p w14:paraId="5915E9E2">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sz w:val="20"/>
          <w:szCs w:val="20"/>
          <w:lang w:val="en-GB"/>
        </w:rPr>
      </w:pPr>
      <w:r>
        <w:rPr>
          <w:rFonts w:hint="eastAsia" w:ascii="Times New Roman" w:hAnsi="Times New Roman" w:cs="Times New Roman" w:eastAsiaTheme="minorEastAsia"/>
          <w:iCs/>
          <w:sz w:val="20"/>
          <w:szCs w:val="20"/>
        </w:rPr>
        <w:t>Proposal</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 xml:space="preserve">1a (CATT): </w:t>
      </w:r>
      <w:r>
        <w:rPr>
          <w:rFonts w:ascii="Times New Roman" w:hAnsi="Times New Roman" w:cs="Times New Roman"/>
          <w:sz w:val="21"/>
          <w:szCs w:val="22"/>
          <w:lang w:val="en-GB"/>
        </w:rPr>
        <w:t>TA validation based on the RSRP change criterion for RedCap in TN shall be removed and the requirements may refer to the PUR requirements for IoT for NTN</w:t>
      </w:r>
      <w:r>
        <w:rPr>
          <w:rFonts w:hint="eastAsia" w:ascii="Times New Roman" w:hAnsi="Times New Roman" w:cs="Times New Roman"/>
          <w:sz w:val="21"/>
          <w:szCs w:val="22"/>
          <w:lang w:val="en-GB"/>
        </w:rPr>
        <w:t>.</w:t>
      </w:r>
    </w:p>
    <w:p w14:paraId="7DA63E7F">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Proposal</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 xml:space="preserve">1b (LG): </w:t>
      </w:r>
      <w:r>
        <w:rPr>
          <w:rFonts w:hint="eastAsia" w:ascii="Times New Roman" w:hAnsi="Times New Roman" w:cs="Times New Roman"/>
          <w:bCs/>
          <w:iCs/>
          <w:sz w:val="20"/>
        </w:rPr>
        <w:t xml:space="preserve">TA validation </w:t>
      </w:r>
      <w:r>
        <w:rPr>
          <w:rFonts w:ascii="Times New Roman" w:hAnsi="Times New Roman" w:cs="Times New Roman"/>
          <w:bCs/>
          <w:iCs/>
          <w:sz w:val="20"/>
        </w:rPr>
        <w:t>procedure</w:t>
      </w:r>
      <w:r>
        <w:rPr>
          <w:rFonts w:hint="eastAsia" w:ascii="Times New Roman" w:hAnsi="Times New Roman" w:cs="Times New Roman"/>
          <w:bCs/>
          <w:iCs/>
          <w:sz w:val="20"/>
        </w:rPr>
        <w:t xml:space="preserve"> can be skipped for SDT requirements if NTN (e)RedCap UE supports RACH-less HO or UE updates the </w:t>
      </w:r>
      <m:oMath>
        <m:sSubSup>
          <m:sSubSupPr>
            <m:ctrlPr>
              <w:rPr>
                <w:rFonts w:ascii="Cambria Math" w:hAnsi="Cambria Math" w:cs="Times New Roman"/>
                <w:bCs/>
                <w:iCs/>
                <w:sz w:val="20"/>
              </w:rPr>
            </m:ctrlPr>
          </m:sSubSupPr>
          <m:e>
            <m:r>
              <m:rPr>
                <m:sty m:val="p"/>
              </m:rPr>
              <w:rPr>
                <w:rFonts w:hint="eastAsia" w:ascii="Cambria Math" w:hAnsi="Cambria Math" w:cs="Times New Roman"/>
                <w:sz w:val="20"/>
              </w:rPr>
              <m:t>N</m:t>
            </m:r>
            <m:ctrlPr>
              <w:rPr>
                <w:rFonts w:ascii="Cambria Math" w:hAnsi="Cambria Math" w:cs="Times New Roman"/>
                <w:bCs/>
                <w:iCs/>
                <w:sz w:val="20"/>
              </w:rPr>
            </m:ctrlPr>
          </m:e>
          <m:sub>
            <m:r>
              <m:rPr>
                <m:sty m:val="p"/>
              </m:rPr>
              <w:rPr>
                <w:rFonts w:ascii="Cambria Math" w:hAnsi="Cambria Math" w:cs="Times New Roman"/>
                <w:sz w:val="20"/>
              </w:rPr>
              <m:t>TA,adj</m:t>
            </m:r>
            <m:ctrlPr>
              <w:rPr>
                <w:rFonts w:ascii="Cambria Math" w:hAnsi="Cambria Math" w:cs="Times New Roman"/>
                <w:bCs/>
                <w:iCs/>
                <w:sz w:val="20"/>
              </w:rPr>
            </m:ctrlPr>
          </m:sub>
          <m:sup>
            <m:r>
              <m:rPr>
                <m:sty m:val="p"/>
              </m:rPr>
              <w:rPr>
                <w:rFonts w:ascii="Cambria Math" w:hAnsi="Cambria Math" w:cs="Times New Roman"/>
                <w:sz w:val="20"/>
              </w:rPr>
              <m:t>common</m:t>
            </m:r>
            <m:ctrlPr>
              <w:rPr>
                <w:rFonts w:ascii="Cambria Math" w:hAnsi="Cambria Math" w:cs="Times New Roman"/>
                <w:bCs/>
                <w:iCs/>
                <w:sz w:val="20"/>
              </w:rPr>
            </m:ctrlPr>
          </m:sup>
        </m:sSubSup>
      </m:oMath>
      <w:r>
        <w:rPr>
          <w:rFonts w:hint="eastAsia" w:ascii="Times New Roman" w:hAnsi="Times New Roman" w:cs="Times New Roman"/>
          <w:bCs/>
          <w:iCs/>
          <w:sz w:val="20"/>
        </w:rPr>
        <w:t xml:space="preserve"> and </w:t>
      </w:r>
      <m:oMath>
        <m:sSubSup>
          <m:sSubSupPr>
            <m:ctrlPr>
              <w:rPr>
                <w:rFonts w:ascii="Cambria Math" w:hAnsi="Cambria Math" w:cs="Times New Roman"/>
                <w:bCs/>
                <w:iCs/>
                <w:sz w:val="20"/>
              </w:rPr>
            </m:ctrlPr>
          </m:sSubSupPr>
          <m:e>
            <m:r>
              <m:rPr>
                <m:sty m:val="p"/>
              </m:rPr>
              <w:rPr>
                <w:rFonts w:hint="eastAsia" w:ascii="Cambria Math" w:hAnsi="Cambria Math" w:cs="Times New Roman"/>
                <w:sz w:val="20"/>
              </w:rPr>
              <m:t>N</m:t>
            </m:r>
            <m:ctrlPr>
              <w:rPr>
                <w:rFonts w:ascii="Cambria Math" w:hAnsi="Cambria Math" w:cs="Times New Roman"/>
                <w:bCs/>
                <w:iCs/>
                <w:sz w:val="20"/>
              </w:rPr>
            </m:ctrlPr>
          </m:e>
          <m:sub>
            <m:r>
              <m:rPr>
                <m:sty m:val="p"/>
              </m:rPr>
              <w:rPr>
                <w:rFonts w:ascii="Cambria Math" w:hAnsi="Cambria Math" w:cs="Times New Roman"/>
                <w:sz w:val="20"/>
              </w:rPr>
              <m:t>TA,adj</m:t>
            </m:r>
            <m:ctrlPr>
              <w:rPr>
                <w:rFonts w:ascii="Cambria Math" w:hAnsi="Cambria Math" w:cs="Times New Roman"/>
                <w:bCs/>
                <w:iCs/>
                <w:sz w:val="20"/>
              </w:rPr>
            </m:ctrlPr>
          </m:sub>
          <m:sup>
            <m:r>
              <m:rPr>
                <m:sty m:val="p"/>
              </m:rPr>
              <w:rPr>
                <w:rFonts w:ascii="Cambria Math" w:hAnsi="Cambria Math" w:cs="Times New Roman"/>
                <w:sz w:val="20"/>
              </w:rPr>
              <m:t>UE</m:t>
            </m:r>
            <m:ctrlPr>
              <w:rPr>
                <w:rFonts w:ascii="Cambria Math" w:hAnsi="Cambria Math" w:cs="Times New Roman"/>
                <w:bCs/>
                <w:iCs/>
                <w:sz w:val="20"/>
              </w:rPr>
            </m:ctrlPr>
          </m:sup>
        </m:sSubSup>
      </m:oMath>
      <w:r>
        <w:rPr>
          <w:rFonts w:hint="eastAsia" w:ascii="Times New Roman" w:hAnsi="Times New Roman" w:cs="Times New Roman"/>
          <w:bCs/>
          <w:iCs/>
          <w:sz w:val="20"/>
        </w:rPr>
        <w:t xml:space="preserve"> before transmission.</w:t>
      </w:r>
    </w:p>
    <w:p w14:paraId="3E5360F0">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szCs w:val="20"/>
        </w:rPr>
      </w:pPr>
      <w:bookmarkStart w:id="15" w:name="OLE_LINK28"/>
      <w:bookmarkStart w:id="16" w:name="OLE_LINK29"/>
      <w:r>
        <w:rPr>
          <w:rFonts w:hint="eastAsia" w:ascii="Times New Roman" w:hAnsi="Times New Roman" w:cs="Times New Roman" w:eastAsiaTheme="minorEastAsia"/>
          <w:iCs/>
          <w:sz w:val="20"/>
          <w:szCs w:val="20"/>
        </w:rPr>
        <w:t>Proposal</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 xml:space="preserve">1c (CMCC): </w:t>
      </w:r>
      <w:bookmarkEnd w:id="15"/>
      <w:bookmarkEnd w:id="16"/>
      <w:r>
        <w:rPr>
          <w:rFonts w:ascii="Times New Roman" w:hAnsi="Times New Roman" w:cs="Times New Roman"/>
          <w:bCs/>
          <w:iCs/>
          <w:sz w:val="20"/>
          <w:szCs w:val="20"/>
        </w:rPr>
        <w:t xml:space="preserve">For CG-SDT TA validation, define the requirement based on </w:t>
      </w:r>
      <w:r>
        <w:rPr>
          <w:rFonts w:ascii="Times New Roman" w:hAnsi="Times New Roman" w:cs="Times New Roman"/>
          <w:bCs/>
          <w:iCs/>
          <w:kern w:val="2"/>
          <w:sz w:val="20"/>
          <w:szCs w:val="20"/>
        </w:rPr>
        <w:t xml:space="preserve">cg-SDT-timeAlignmentTimer and valid values for </w:t>
      </w:r>
      <m:oMath>
        <m:sSub>
          <m:sSubPr>
            <m:ctrlPr>
              <w:rPr>
                <w:rFonts w:ascii="Cambria Math" w:hAnsi="Cambria Math" w:eastAsia="Times New Roman" w:cs="Times New Roman"/>
                <w:bCs/>
                <w:iCs/>
                <w:sz w:val="20"/>
                <w:szCs w:val="20"/>
              </w:rPr>
            </m:ctrlPr>
          </m:sSubPr>
          <m:e>
            <m:r>
              <m:rPr>
                <m:sty m:val="p"/>
              </m:rPr>
              <w:rPr>
                <w:rFonts w:ascii="Cambria Math" w:hAnsi="Cambria Math" w:eastAsia="Times New Roman" w:cs="Times New Roman"/>
                <w:sz w:val="20"/>
                <w:szCs w:val="20"/>
              </w:rPr>
              <m:t>N</m:t>
            </m:r>
            <m:ctrlPr>
              <w:rPr>
                <w:rFonts w:ascii="Cambria Math" w:hAnsi="Cambria Math" w:eastAsia="Times New Roman" w:cs="Times New Roman"/>
                <w:bCs/>
                <w:iCs/>
                <w:sz w:val="20"/>
                <w:szCs w:val="20"/>
              </w:rPr>
            </m:ctrlPr>
          </m:e>
          <m:sub>
            <m:r>
              <m:rPr>
                <m:nor/>
                <m:sty m:val="p"/>
              </m:rPr>
              <w:rPr>
                <w:rFonts w:ascii="Times New Roman" w:hAnsi="Times New Roman" w:eastAsia="Times New Roman" w:cs="Times New Roman"/>
                <w:b w:val="0"/>
                <w:bCs/>
                <w:i w:val="0"/>
                <w:iCs/>
                <w:sz w:val="20"/>
                <w:szCs w:val="20"/>
              </w:rPr>
              <m:t>TA</m:t>
            </m:r>
            <m:ctrlPr>
              <w:rPr>
                <w:rFonts w:ascii="Cambria Math" w:hAnsi="Cambria Math" w:eastAsia="Times New Roman" w:cs="Times New Roman"/>
                <w:bCs/>
                <w:iCs/>
                <w:sz w:val="20"/>
                <w:szCs w:val="20"/>
              </w:rPr>
            </m:ctrlPr>
          </m:sub>
        </m:sSub>
        <m:r>
          <m:rPr>
            <m:sty m:val="p"/>
          </m:rPr>
          <w:rPr>
            <w:rFonts w:ascii="Cambria Math" w:hAnsi="Cambria Math" w:eastAsia="Times New Roman" w:cs="Times New Roman"/>
            <w:sz w:val="20"/>
            <w:szCs w:val="20"/>
          </w:rPr>
          <m:t xml:space="preserve">, </m:t>
        </m:r>
        <m:sSub>
          <m:sSubPr>
            <m:ctrlPr>
              <w:rPr>
                <w:rFonts w:ascii="Cambria Math" w:hAnsi="Cambria Math" w:eastAsia="Times New Roman" w:cs="Times New Roman"/>
                <w:bCs/>
                <w:iCs/>
                <w:sz w:val="20"/>
                <w:szCs w:val="20"/>
              </w:rPr>
            </m:ctrlPr>
          </m:sSubPr>
          <m:e>
            <m:r>
              <m:rPr>
                <m:sty m:val="p"/>
              </m:rPr>
              <w:rPr>
                <w:rFonts w:ascii="Cambria Math" w:hAnsi="Cambria Math" w:eastAsia="Times New Roman" w:cs="Times New Roman"/>
                <w:sz w:val="20"/>
                <w:szCs w:val="20"/>
              </w:rPr>
              <m:t>N</m:t>
            </m:r>
            <m:ctrlPr>
              <w:rPr>
                <w:rFonts w:ascii="Cambria Math" w:hAnsi="Cambria Math" w:eastAsia="Times New Roman" w:cs="Times New Roman"/>
                <w:bCs/>
                <w:iCs/>
                <w:sz w:val="20"/>
                <w:szCs w:val="20"/>
              </w:rPr>
            </m:ctrlPr>
          </m:e>
          <m:sub>
            <m:r>
              <m:rPr>
                <m:nor/>
                <m:sty m:val="p"/>
              </m:rPr>
              <w:rPr>
                <w:rFonts w:ascii="Times New Roman" w:hAnsi="Times New Roman" w:eastAsia="Times New Roman" w:cs="Times New Roman"/>
                <w:b w:val="0"/>
                <w:bCs/>
                <w:i w:val="0"/>
                <w:iCs/>
                <w:sz w:val="20"/>
                <w:szCs w:val="20"/>
              </w:rPr>
              <m:t>TA,offset</m:t>
            </m:r>
            <m:ctrlPr>
              <w:rPr>
                <w:rFonts w:ascii="Cambria Math" w:hAnsi="Cambria Math" w:eastAsia="Times New Roman" w:cs="Times New Roman"/>
                <w:bCs/>
                <w:iCs/>
                <w:sz w:val="20"/>
                <w:szCs w:val="20"/>
              </w:rPr>
            </m:ctrlPr>
          </m:sub>
        </m:sSub>
        <m:r>
          <m:rPr>
            <m:sty m:val="p"/>
          </m:rPr>
          <w:rPr>
            <w:rFonts w:ascii="Cambria Math" w:hAnsi="Cambria Math" w:eastAsia="Times New Roman" w:cs="Times New Roman"/>
            <w:sz w:val="20"/>
            <w:szCs w:val="20"/>
          </w:rPr>
          <m:t xml:space="preserve">, </m:t>
        </m:r>
        <m:sSubSup>
          <m:sSubSupPr>
            <m:ctrlPr>
              <w:rPr>
                <w:rFonts w:ascii="Cambria Math" w:hAnsi="Cambria Math" w:eastAsia="Times New Roman" w:cs="Times New Roman"/>
                <w:bCs/>
                <w:iCs/>
                <w:sz w:val="20"/>
                <w:szCs w:val="20"/>
              </w:rPr>
            </m:ctrlPr>
          </m:sSubSupPr>
          <m:e>
            <m:r>
              <m:rPr>
                <m:sty m:val="p"/>
              </m:rPr>
              <w:rPr>
                <w:rFonts w:ascii="Cambria Math" w:hAnsi="Cambria Math" w:eastAsia="Times New Roman" w:cs="Times New Roman"/>
                <w:sz w:val="20"/>
                <w:szCs w:val="20"/>
              </w:rPr>
              <m:t>N</m:t>
            </m:r>
            <m:ctrlPr>
              <w:rPr>
                <w:rFonts w:ascii="Cambria Math" w:hAnsi="Cambria Math" w:eastAsia="Times New Roman" w:cs="Times New Roman"/>
                <w:bCs/>
                <w:iCs/>
                <w:sz w:val="20"/>
                <w:szCs w:val="20"/>
              </w:rPr>
            </m:ctrlPr>
          </m:e>
          <m:sub>
            <m:r>
              <m:rPr>
                <m:nor/>
                <m:sty m:val="p"/>
              </m:rPr>
              <w:rPr>
                <w:rFonts w:ascii="Times New Roman" w:hAnsi="Times New Roman" w:eastAsia="Times New Roman" w:cs="Times New Roman"/>
                <w:b w:val="0"/>
                <w:bCs/>
                <w:i w:val="0"/>
                <w:iCs/>
                <w:sz w:val="20"/>
                <w:szCs w:val="20"/>
              </w:rPr>
              <m:t>TA,adj</m:t>
            </m:r>
            <m:ctrlPr>
              <w:rPr>
                <w:rFonts w:ascii="Cambria Math" w:hAnsi="Cambria Math" w:eastAsia="Times New Roman" w:cs="Times New Roman"/>
                <w:bCs/>
                <w:iCs/>
                <w:sz w:val="20"/>
                <w:szCs w:val="20"/>
              </w:rPr>
            </m:ctrlPr>
          </m:sub>
          <m:sup>
            <m:r>
              <m:rPr>
                <m:nor/>
                <m:sty m:val="p"/>
              </m:rPr>
              <w:rPr>
                <w:rFonts w:ascii="Times New Roman" w:hAnsi="Times New Roman" w:eastAsia="Times New Roman" w:cs="Times New Roman"/>
                <w:b w:val="0"/>
                <w:bCs/>
                <w:i w:val="0"/>
                <w:iCs/>
                <w:sz w:val="20"/>
                <w:szCs w:val="20"/>
              </w:rPr>
              <m:t>common</m:t>
            </m:r>
            <m:ctrlPr>
              <w:rPr>
                <w:rFonts w:ascii="Cambria Math" w:hAnsi="Cambria Math" w:eastAsia="Times New Roman" w:cs="Times New Roman"/>
                <w:bCs/>
                <w:iCs/>
                <w:sz w:val="20"/>
                <w:szCs w:val="20"/>
              </w:rPr>
            </m:ctrlPr>
          </m:sup>
        </m:sSubSup>
      </m:oMath>
      <w:r>
        <w:rPr>
          <w:rFonts w:ascii="Times New Roman" w:hAnsi="Times New Roman" w:eastAsia="Yu Mincho" w:cs="Times New Roman"/>
          <w:bCs/>
          <w:iCs/>
          <w:sz w:val="20"/>
          <w:szCs w:val="20"/>
        </w:rPr>
        <w:t xml:space="preserve"> and </w:t>
      </w:r>
      <m:oMath>
        <m:r>
          <m:rPr>
            <m:sty m:val="p"/>
          </m:rPr>
          <w:rPr>
            <w:rFonts w:ascii="Cambria Math" w:hAnsi="Cambria Math" w:eastAsia="Times New Roman" w:cs="Times New Roman"/>
            <w:sz w:val="20"/>
            <w:szCs w:val="20"/>
          </w:rPr>
          <m:t xml:space="preserve">  </m:t>
        </m:r>
        <m:sSubSup>
          <m:sSubSupPr>
            <m:ctrlPr>
              <w:rPr>
                <w:rFonts w:ascii="Cambria Math" w:hAnsi="Cambria Math" w:eastAsia="Times New Roman" w:cs="Times New Roman"/>
                <w:bCs/>
                <w:iCs/>
                <w:sz w:val="20"/>
                <w:szCs w:val="20"/>
              </w:rPr>
            </m:ctrlPr>
          </m:sSubSupPr>
          <m:e>
            <m:r>
              <m:rPr>
                <m:sty m:val="p"/>
              </m:rPr>
              <w:rPr>
                <w:rFonts w:ascii="Cambria Math" w:hAnsi="Cambria Math" w:eastAsia="Times New Roman" w:cs="Times New Roman"/>
                <w:sz w:val="20"/>
                <w:szCs w:val="20"/>
              </w:rPr>
              <m:t>N</m:t>
            </m:r>
            <m:ctrlPr>
              <w:rPr>
                <w:rFonts w:ascii="Cambria Math" w:hAnsi="Cambria Math" w:eastAsia="Times New Roman" w:cs="Times New Roman"/>
                <w:bCs/>
                <w:iCs/>
                <w:sz w:val="20"/>
                <w:szCs w:val="20"/>
              </w:rPr>
            </m:ctrlPr>
          </m:e>
          <m:sub>
            <m:r>
              <m:rPr>
                <m:nor/>
                <m:sty m:val="p"/>
              </m:rPr>
              <w:rPr>
                <w:rFonts w:ascii="Times New Roman" w:hAnsi="Times New Roman" w:eastAsia="Times New Roman" w:cs="Times New Roman"/>
                <w:b w:val="0"/>
                <w:bCs/>
                <w:i w:val="0"/>
                <w:iCs/>
                <w:sz w:val="20"/>
                <w:szCs w:val="20"/>
              </w:rPr>
              <m:t>TA,adj</m:t>
            </m:r>
            <m:ctrlPr>
              <w:rPr>
                <w:rFonts w:ascii="Cambria Math" w:hAnsi="Cambria Math" w:eastAsia="Times New Roman" w:cs="Times New Roman"/>
                <w:bCs/>
                <w:iCs/>
                <w:sz w:val="20"/>
                <w:szCs w:val="20"/>
              </w:rPr>
            </m:ctrlPr>
          </m:sub>
          <m:sup>
            <m:r>
              <m:rPr>
                <m:nor/>
                <m:sty m:val="p"/>
              </m:rPr>
              <w:rPr>
                <w:rFonts w:ascii="Times New Roman" w:hAnsi="Times New Roman" w:eastAsia="Times New Roman" w:cs="Times New Roman"/>
                <w:b w:val="0"/>
                <w:bCs/>
                <w:i w:val="0"/>
                <w:iCs/>
                <w:sz w:val="20"/>
                <w:szCs w:val="20"/>
              </w:rPr>
              <m:t>UE</m:t>
            </m:r>
            <m:ctrlPr>
              <w:rPr>
                <w:rFonts w:ascii="Cambria Math" w:hAnsi="Cambria Math" w:eastAsia="Times New Roman" w:cs="Times New Roman"/>
                <w:bCs/>
                <w:iCs/>
                <w:sz w:val="20"/>
                <w:szCs w:val="20"/>
              </w:rPr>
            </m:ctrlPr>
          </m:sup>
        </m:sSubSup>
      </m:oMath>
      <w:r>
        <w:rPr>
          <w:rFonts w:ascii="Times New Roman" w:hAnsi="Times New Roman" w:eastAsia="Times New Roman" w:cs="Times New Roman"/>
          <w:bCs/>
          <w:iCs/>
          <w:sz w:val="20"/>
          <w:szCs w:val="20"/>
        </w:rPr>
        <w:t xml:space="preserve"> , specific approach can refer to the PUR requirements for IOT-NTN.</w:t>
      </w:r>
    </w:p>
    <w:p w14:paraId="7984E287">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Proposal</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 xml:space="preserve">1d (vivo): </w:t>
      </w:r>
      <w:r>
        <w:rPr>
          <w:rFonts w:ascii="Times New Roman" w:hAnsi="Times New Roman" w:cs="Times New Roman" w:eastAsiaTheme="minorEastAsia"/>
          <w:iCs/>
          <w:sz w:val="20"/>
          <w:szCs w:val="20"/>
        </w:rPr>
        <w:t>For SDT requirement in RRC_INACTIVE state for (e)RedCap NTN, RAN4 to follow the same requirements on TA validation for the PUR requirements for IoT NTN (when stable)</w:t>
      </w:r>
    </w:p>
    <w:p w14:paraId="524CE86F">
      <w:pPr>
        <w:pStyle w:val="29"/>
        <w:numPr>
          <w:ilvl w:val="2"/>
          <w:numId w:val="6"/>
        </w:numPr>
        <w:spacing w:before="120" w:after="120"/>
        <w:ind w:hanging="357"/>
        <w:contextualSpacing w:val="0"/>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Proposal</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2 (ZTE): CG-SDT shall be used for RedCap UEs in NTN whatever it</w:t>
      </w:r>
      <w:r>
        <w:rPr>
          <w:rFonts w:ascii="Times New Roman" w:hAnsi="Times New Roman" w:cs="Times New Roman" w:eastAsiaTheme="minorEastAsia"/>
          <w:iCs/>
          <w:sz w:val="20"/>
          <w:szCs w:val="20"/>
        </w:rPr>
        <w:t>’</w:t>
      </w:r>
      <w:r>
        <w:rPr>
          <w:rFonts w:hint="eastAsia" w:ascii="Times New Roman" w:hAnsi="Times New Roman" w:cs="Times New Roman" w:eastAsiaTheme="minorEastAsia"/>
          <w:iCs/>
          <w:sz w:val="20"/>
          <w:szCs w:val="20"/>
        </w:rPr>
        <w:t>s the GSO or NGSO for 1Rx and 2Rx RedCap UEs, and the requirements can be:</w:t>
      </w:r>
    </w:p>
    <w:tbl>
      <w:tblPr>
        <w:tblStyle w:val="20"/>
        <w:tblW w:w="0" w:type="auto"/>
        <w:tblInd w:w="2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4961"/>
      </w:tblGrid>
      <w:tr w14:paraId="5837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72E1413">
            <w:pPr>
              <w:rPr>
                <w:rFonts w:ascii="Times New Roman" w:hAnsi="Times New Roman" w:cs="Times New Roman"/>
                <w:i/>
                <w:iCs/>
                <w:sz w:val="18"/>
                <w:szCs w:val="20"/>
                <w:lang w:val="fr-FR"/>
              </w:rPr>
            </w:pPr>
            <w:r>
              <w:rPr>
                <w:rFonts w:ascii="Times New Roman" w:hAnsi="Times New Roman" w:cs="Times New Roman"/>
                <w:sz w:val="18"/>
                <w:szCs w:val="20"/>
                <w:lang w:val="fr-FR"/>
              </w:rPr>
              <w:t>Measurement</w:t>
            </w:r>
          </w:p>
        </w:tc>
        <w:tc>
          <w:tcPr>
            <w:tcW w:w="4961" w:type="dxa"/>
          </w:tcPr>
          <w:p w14:paraId="6DD1F2C3">
            <w:pPr>
              <w:rPr>
                <w:rFonts w:ascii="Times New Roman" w:hAnsi="Times New Roman" w:cs="Times New Roman"/>
                <w:i/>
                <w:iCs/>
                <w:sz w:val="18"/>
                <w:szCs w:val="20"/>
                <w:lang w:val="fr-FR"/>
              </w:rPr>
            </w:pPr>
            <w:r>
              <w:rPr>
                <w:rFonts w:ascii="Times New Roman" w:hAnsi="Times New Roman" w:cs="Times New Roman"/>
                <w:sz w:val="18"/>
                <w:szCs w:val="20"/>
                <w:lang w:val="fr-FR"/>
              </w:rPr>
              <w:t>FR1</w:t>
            </w:r>
          </w:p>
        </w:tc>
      </w:tr>
      <w:tr w14:paraId="2ECB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E98CCE4">
            <w:pPr>
              <w:rPr>
                <w:rFonts w:ascii="Times New Roman" w:hAnsi="Times New Roman" w:cs="Times New Roman"/>
                <w:i/>
                <w:iCs/>
                <w:sz w:val="18"/>
                <w:szCs w:val="20"/>
                <w:lang w:val="fr-FR"/>
              </w:rPr>
            </w:pPr>
            <w:r>
              <w:rPr>
                <w:rFonts w:ascii="Times New Roman" w:hAnsi="Times New Roman" w:cs="Times New Roman"/>
                <w:sz w:val="18"/>
                <w:szCs w:val="20"/>
                <w:lang w:val="fr-FR"/>
              </w:rPr>
              <w:t>RSRP</w:t>
            </w:r>
            <w:r>
              <w:rPr>
                <w:rFonts w:ascii="Times New Roman" w:hAnsi="Times New Roman" w:cs="Times New Roman"/>
                <w:sz w:val="18"/>
                <w:szCs w:val="20"/>
                <w:vertAlign w:val="subscript"/>
                <w:lang w:val="fr-FR"/>
              </w:rPr>
              <w:t>1</w:t>
            </w:r>
          </w:p>
        </w:tc>
        <w:tc>
          <w:tcPr>
            <w:tcW w:w="4961" w:type="dxa"/>
          </w:tcPr>
          <w:p w14:paraId="021DF361">
            <w:pPr>
              <w:rPr>
                <w:rFonts w:ascii="Times New Roman" w:hAnsi="Times New Roman" w:cs="Times New Roman"/>
                <w:i/>
                <w:iCs/>
                <w:sz w:val="18"/>
                <w:szCs w:val="20"/>
                <w:lang w:val="fr-FR"/>
              </w:rPr>
            </w:pPr>
            <w:r>
              <w:rPr>
                <w:rFonts w:ascii="Times New Roman" w:hAnsi="Times New Roman" w:cs="Times New Roman"/>
                <w:sz w:val="18"/>
                <w:szCs w:val="20"/>
                <w:lang w:val="fr-FR"/>
              </w:rPr>
              <w:t>(T1 – min(</w:t>
            </w:r>
            <w:r>
              <w:rPr>
                <w:rFonts w:ascii="Times New Roman" w:hAnsi="Times New Roman" w:cs="Times New Roman"/>
                <w:sz w:val="18"/>
                <w:szCs w:val="20"/>
                <w:lang w:val="sv-SE"/>
              </w:rPr>
              <w:t>800</w:t>
            </w:r>
            <w:r>
              <w:rPr>
                <w:rFonts w:ascii="Times New Roman" w:hAnsi="Times New Roman" w:cs="Times New Roman"/>
                <w:sz w:val="18"/>
                <w:szCs w:val="20"/>
                <w:lang w:val="fr-FR"/>
              </w:rPr>
              <w:t>ms, M1*T</w:t>
            </w:r>
            <w:r>
              <w:rPr>
                <w:rFonts w:ascii="Times New Roman" w:hAnsi="Times New Roman" w:cs="Times New Roman"/>
                <w:sz w:val="18"/>
                <w:szCs w:val="20"/>
                <w:vertAlign w:val="subscript"/>
                <w:lang w:val="fr-FR"/>
              </w:rPr>
              <w:t>DRX</w:t>
            </w:r>
            <w:r>
              <w:rPr>
                <w:rFonts w:ascii="Times New Roman" w:hAnsi="Times New Roman" w:cs="Times New Roman"/>
                <w:sz w:val="18"/>
                <w:szCs w:val="20"/>
                <w:lang w:val="fr-FR"/>
              </w:rPr>
              <w:t>)) ≤ T1’ ≤ (T1 + min(</w:t>
            </w:r>
            <w:r>
              <w:rPr>
                <w:rFonts w:ascii="Times New Roman" w:hAnsi="Times New Roman" w:cs="Times New Roman"/>
                <w:sz w:val="18"/>
                <w:szCs w:val="20"/>
                <w:lang w:val="sv-SE"/>
              </w:rPr>
              <w:t>800</w:t>
            </w:r>
            <w:r>
              <w:rPr>
                <w:rFonts w:ascii="Times New Roman" w:hAnsi="Times New Roman" w:cs="Times New Roman"/>
                <w:sz w:val="18"/>
                <w:szCs w:val="20"/>
                <w:lang w:val="fr-FR"/>
              </w:rPr>
              <w:t>ms, M1*T</w:t>
            </w:r>
            <w:r>
              <w:rPr>
                <w:rFonts w:ascii="Times New Roman" w:hAnsi="Times New Roman" w:cs="Times New Roman"/>
                <w:sz w:val="18"/>
                <w:szCs w:val="20"/>
                <w:vertAlign w:val="subscript"/>
                <w:lang w:val="fr-FR"/>
              </w:rPr>
              <w:t>DRX</w:t>
            </w:r>
            <w:r>
              <w:rPr>
                <w:rFonts w:ascii="Times New Roman" w:hAnsi="Times New Roman" w:cs="Times New Roman"/>
                <w:sz w:val="18"/>
                <w:szCs w:val="20"/>
                <w:lang w:val="fr-FR"/>
              </w:rPr>
              <w:t>))</w:t>
            </w:r>
          </w:p>
        </w:tc>
      </w:tr>
      <w:tr w14:paraId="0D80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1FFACCE">
            <w:pPr>
              <w:rPr>
                <w:rFonts w:ascii="Times New Roman" w:hAnsi="Times New Roman" w:cs="Times New Roman"/>
                <w:i/>
                <w:iCs/>
                <w:sz w:val="18"/>
                <w:szCs w:val="20"/>
                <w:lang w:val="fr-FR"/>
              </w:rPr>
            </w:pPr>
            <w:r>
              <w:rPr>
                <w:rFonts w:ascii="Times New Roman" w:hAnsi="Times New Roman" w:cs="Times New Roman"/>
                <w:sz w:val="18"/>
                <w:szCs w:val="20"/>
                <w:lang w:val="fr-FR"/>
              </w:rPr>
              <w:t>RSRP</w:t>
            </w:r>
            <w:r>
              <w:rPr>
                <w:rFonts w:ascii="Times New Roman" w:hAnsi="Times New Roman" w:cs="Times New Roman"/>
                <w:sz w:val="18"/>
                <w:szCs w:val="20"/>
                <w:vertAlign w:val="subscript"/>
                <w:lang w:val="fr-FR"/>
              </w:rPr>
              <w:t>2</w:t>
            </w:r>
          </w:p>
        </w:tc>
        <w:tc>
          <w:tcPr>
            <w:tcW w:w="4961" w:type="dxa"/>
          </w:tcPr>
          <w:p w14:paraId="68C6D93F">
            <w:pPr>
              <w:rPr>
                <w:rFonts w:ascii="Times New Roman" w:hAnsi="Times New Roman" w:cs="Times New Roman"/>
                <w:i/>
                <w:iCs/>
                <w:sz w:val="18"/>
                <w:szCs w:val="20"/>
                <w:lang w:val="fr-FR"/>
              </w:rPr>
            </w:pPr>
            <w:r>
              <w:rPr>
                <w:rFonts w:ascii="Times New Roman" w:hAnsi="Times New Roman" w:cs="Times New Roman"/>
                <w:sz w:val="18"/>
                <w:szCs w:val="20"/>
                <w:lang w:val="fr-FR"/>
              </w:rPr>
              <w:t>(T2 – min(</w:t>
            </w:r>
            <w:r>
              <w:rPr>
                <w:rFonts w:ascii="Times New Roman" w:hAnsi="Times New Roman" w:cs="Times New Roman"/>
                <w:sz w:val="18"/>
                <w:szCs w:val="20"/>
                <w:lang w:val="sv-SE"/>
              </w:rPr>
              <w:t>800</w:t>
            </w:r>
            <w:r>
              <w:rPr>
                <w:rFonts w:ascii="Times New Roman" w:hAnsi="Times New Roman" w:cs="Times New Roman"/>
                <w:sz w:val="18"/>
                <w:szCs w:val="20"/>
                <w:lang w:val="fr-FR"/>
              </w:rPr>
              <w:t>ms, M1*T</w:t>
            </w:r>
            <w:r>
              <w:rPr>
                <w:rFonts w:ascii="Times New Roman" w:hAnsi="Times New Roman" w:cs="Times New Roman"/>
                <w:sz w:val="18"/>
                <w:szCs w:val="20"/>
                <w:vertAlign w:val="subscript"/>
                <w:lang w:val="fr-FR"/>
              </w:rPr>
              <w:t>DRX</w:t>
            </w:r>
            <w:r>
              <w:rPr>
                <w:rFonts w:ascii="Times New Roman" w:hAnsi="Times New Roman" w:cs="Times New Roman"/>
                <w:sz w:val="18"/>
                <w:szCs w:val="20"/>
                <w:lang w:val="fr-FR"/>
              </w:rPr>
              <w:t>)) ≤ T2’ ≤ T2</w:t>
            </w:r>
          </w:p>
        </w:tc>
      </w:tr>
      <w:tr w14:paraId="60F7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6" w:type="dxa"/>
            <w:gridSpan w:val="2"/>
          </w:tcPr>
          <w:p w14:paraId="7EF1DFF1">
            <w:pPr>
              <w:rPr>
                <w:rFonts w:ascii="Times New Roman" w:hAnsi="Times New Roman" w:cs="Times New Roman"/>
                <w:sz w:val="18"/>
                <w:szCs w:val="20"/>
              </w:rPr>
            </w:pPr>
            <w:r>
              <w:rPr>
                <w:rFonts w:hint="eastAsia" w:ascii="Times New Roman" w:hAnsi="Times New Roman" w:cs="Times New Roman"/>
                <w:sz w:val="18"/>
                <w:szCs w:val="20"/>
              </w:rPr>
              <w:t xml:space="preserve">Note: </w:t>
            </w:r>
            <w:r>
              <w:rPr>
                <w:rFonts w:ascii="Times New Roman" w:hAnsi="Times New Roman" w:cs="Times New Roman"/>
                <w:sz w:val="18"/>
                <w:szCs w:val="20"/>
                <w:lang w:val="en-GB"/>
              </w:rPr>
              <w:t>The UE is not required to meet the requirements for 2.56s DRX cycle length for earth-moving LEO deployment.</w:t>
            </w:r>
          </w:p>
        </w:tc>
      </w:tr>
    </w:tbl>
    <w:p w14:paraId="7D6F3CD9">
      <w:pPr>
        <w:spacing w:after="120"/>
        <w:rPr>
          <w:rFonts w:ascii="Times New Roman" w:hAnsi="Times New Roman" w:cs="Times New Roman" w:eastAsiaTheme="minorEastAsia"/>
          <w:iCs/>
          <w:sz w:val="20"/>
          <w:szCs w:val="20"/>
        </w:rPr>
      </w:pPr>
    </w:p>
    <w:p w14:paraId="453EC540">
      <w:pPr>
        <w:pStyle w:val="29"/>
        <w:numPr>
          <w:ilvl w:val="1"/>
          <w:numId w:val="6"/>
        </w:numPr>
        <w:spacing w:after="120"/>
        <w:contextualSpacing w:val="0"/>
        <w:rPr>
          <w:rFonts w:ascii="Times New Roman" w:hAnsi="Times New Roman" w:cs="Times New Roman"/>
          <w:sz w:val="20"/>
          <w:szCs w:val="20"/>
        </w:rPr>
      </w:pPr>
      <w:r>
        <w:rPr>
          <w:rFonts w:hint="eastAsia" w:ascii="Times New Roman" w:hAnsi="Times New Roman" w:cs="Times New Roman"/>
          <w:sz w:val="20"/>
          <w:szCs w:val="20"/>
        </w:rPr>
        <w:t xml:space="preserve">For </w:t>
      </w:r>
      <w:r>
        <w:rPr>
          <w:rFonts w:ascii="Times New Roman" w:hAnsi="Times New Roman" w:cs="Times New Roman"/>
          <w:sz w:val="20"/>
          <w:szCs w:val="20"/>
        </w:rPr>
        <w:t>MDT requirements in RRC_IDLE and RRC_INACTIVE state</w:t>
      </w:r>
    </w:p>
    <w:p w14:paraId="0A73458C">
      <w:pPr>
        <w:pStyle w:val="29"/>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Proposal </w:t>
      </w:r>
      <w:r>
        <w:rPr>
          <w:rFonts w:hint="eastAsia" w:ascii="Times New Roman" w:hAnsi="Times New Roman" w:cs="Times New Roman"/>
          <w:sz w:val="20"/>
          <w:szCs w:val="20"/>
          <w:lang w:val="en-GB"/>
        </w:rPr>
        <w:t xml:space="preserve">1 </w:t>
      </w:r>
      <w:r>
        <w:rPr>
          <w:rFonts w:ascii="Times New Roman" w:hAnsi="Times New Roman" w:cs="Times New Roman"/>
          <w:sz w:val="20"/>
          <w:szCs w:val="20"/>
          <w:lang w:val="en-GB"/>
        </w:rPr>
        <w:t>(</w:t>
      </w:r>
      <w:r>
        <w:rPr>
          <w:rFonts w:hint="eastAsia" w:ascii="Times New Roman" w:hAnsi="Times New Roman" w:cs="Times New Roman"/>
          <w:sz w:val="20"/>
          <w:szCs w:val="20"/>
          <w:lang w:val="en-GB"/>
        </w:rPr>
        <w:t xml:space="preserve">CATT, </w:t>
      </w:r>
      <w:r>
        <w:rPr>
          <w:rFonts w:ascii="Times New Roman" w:hAnsi="Times New Roman" w:cs="Times New Roman"/>
          <w:sz w:val="20"/>
          <w:szCs w:val="20"/>
        </w:rPr>
        <w:t>Samsung</w:t>
      </w:r>
      <w:r>
        <w:rPr>
          <w:rFonts w:hint="eastAsia" w:ascii="Times New Roman" w:hAnsi="Times New Roman" w:cs="Times New Roman"/>
          <w:sz w:val="20"/>
          <w:szCs w:val="20"/>
        </w:rPr>
        <w:t xml:space="preserve">, QC, OPPO, </w:t>
      </w:r>
      <w:r>
        <w:rPr>
          <w:rFonts w:ascii="Times New Roman" w:hAnsi="Times New Roman" w:cs="Times New Roman"/>
          <w:sz w:val="20"/>
          <w:szCs w:val="20"/>
        </w:rPr>
        <w:t>Ericsson</w:t>
      </w:r>
      <w:r>
        <w:rPr>
          <w:rFonts w:hint="eastAsia" w:ascii="Times New Roman" w:hAnsi="Times New Roman" w:cs="Times New Roman"/>
          <w:sz w:val="20"/>
          <w:szCs w:val="20"/>
        </w:rPr>
        <w:t>, vivo, HW, MTK</w:t>
      </w:r>
      <w:r>
        <w:rPr>
          <w:rFonts w:ascii="Times New Roman" w:hAnsi="Times New Roman" w:cs="Times New Roman"/>
          <w:sz w:val="20"/>
          <w:szCs w:val="20"/>
          <w:lang w:val="en-GB"/>
        </w:rPr>
        <w:t>):</w:t>
      </w:r>
      <w:r>
        <w:rPr>
          <w:rFonts w:hint="eastAsia" w:ascii="Times New Roman" w:hAnsi="Times New Roman" w:cs="Times New Roman"/>
          <w:sz w:val="20"/>
          <w:szCs w:val="20"/>
          <w:lang w:val="en-GB"/>
        </w:rPr>
        <w:t xml:space="preserve"> </w:t>
      </w:r>
    </w:p>
    <w:p w14:paraId="725A6C8E">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 xml:space="preserve">Do not specify Minimization of Drive Tests (MDT) requirements in RRC_IDLE state and RRC_INACTIVE state for (e)RedCap UE </w:t>
      </w:r>
      <w:r>
        <w:rPr>
          <w:rFonts w:hint="eastAsia" w:ascii="Times New Roman" w:hAnsi="Times New Roman" w:cs="Times New Roman" w:eastAsiaTheme="minorEastAsia"/>
          <w:iCs/>
          <w:sz w:val="20"/>
          <w:szCs w:val="20"/>
        </w:rPr>
        <w:t>with</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FR1-</w:t>
      </w:r>
      <w:r>
        <w:rPr>
          <w:rFonts w:ascii="Times New Roman" w:hAnsi="Times New Roman" w:cs="Times New Roman" w:eastAsiaTheme="minorEastAsia"/>
          <w:iCs/>
          <w:sz w:val="20"/>
          <w:szCs w:val="20"/>
        </w:rPr>
        <w:t>NTN as the same situation for (e)RedCap UE in TN system.</w:t>
      </w:r>
    </w:p>
    <w:p w14:paraId="2D252EAE">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 xml:space="preserve">Proposal </w:t>
      </w:r>
      <w:r>
        <w:rPr>
          <w:rFonts w:hint="eastAsia" w:ascii="Times New Roman" w:hAnsi="Times New Roman" w:cs="Times New Roman" w:eastAsiaTheme="minorEastAsia"/>
          <w:iCs/>
          <w:sz w:val="20"/>
          <w:szCs w:val="20"/>
        </w:rPr>
        <w:t xml:space="preserve">1a (CATT): </w:t>
      </w:r>
      <w:r>
        <w:rPr>
          <w:rFonts w:ascii="Times New Roman" w:hAnsi="Times New Roman" w:cs="Times New Roman" w:eastAsiaTheme="minorEastAsia"/>
          <w:iCs/>
          <w:sz w:val="20"/>
          <w:szCs w:val="20"/>
        </w:rPr>
        <w:t>Deprioritize</w:t>
      </w:r>
      <w:r>
        <w:rPr>
          <w:rFonts w:hint="eastAsia" w:ascii="Times New Roman" w:hAnsi="Times New Roman" w:cs="Times New Roman" w:eastAsiaTheme="minorEastAsia"/>
          <w:iCs/>
          <w:sz w:val="20"/>
          <w:szCs w:val="20"/>
        </w:rPr>
        <w:t xml:space="preserve"> to define.</w:t>
      </w:r>
    </w:p>
    <w:p w14:paraId="4C9258FD">
      <w:pPr>
        <w:pStyle w:val="29"/>
        <w:numPr>
          <w:ilvl w:val="2"/>
          <w:numId w:val="6"/>
        </w:numPr>
        <w:contextualSpacing w:val="0"/>
        <w:rPr>
          <w:rFonts w:ascii="Times New Roman" w:hAnsi="Times New Roman" w:cs="Times New Roman"/>
          <w:sz w:val="20"/>
          <w:szCs w:val="20"/>
          <w:lang w:val="en-GB"/>
        </w:rPr>
      </w:pPr>
      <w:r>
        <w:rPr>
          <w:rFonts w:ascii="Times New Roman" w:hAnsi="Times New Roman" w:cs="Times New Roman"/>
          <w:sz w:val="20"/>
          <w:szCs w:val="20"/>
          <w:lang w:val="en-GB"/>
        </w:rPr>
        <w:t xml:space="preserve">Proposal </w:t>
      </w:r>
      <w:r>
        <w:rPr>
          <w:rFonts w:hint="eastAsia" w:ascii="Times New Roman" w:hAnsi="Times New Roman" w:cs="Times New Roman"/>
          <w:sz w:val="20"/>
          <w:szCs w:val="20"/>
          <w:lang w:val="en-GB"/>
        </w:rPr>
        <w:t>2</w:t>
      </w:r>
      <w:r>
        <w:rPr>
          <w:rFonts w:ascii="Times New Roman" w:hAnsi="Times New Roman" w:cs="Times New Roman"/>
          <w:sz w:val="20"/>
          <w:szCs w:val="20"/>
          <w:lang w:val="en-GB"/>
        </w:rPr>
        <w:t xml:space="preserve"> (</w:t>
      </w:r>
      <w:r>
        <w:rPr>
          <w:rFonts w:hint="eastAsia" w:ascii="Times New Roman" w:hAnsi="Times New Roman" w:cs="Times New Roman"/>
          <w:sz w:val="20"/>
          <w:szCs w:val="20"/>
          <w:lang w:val="en-GB"/>
        </w:rPr>
        <w:t>CMCC</w:t>
      </w:r>
      <w:r>
        <w:rPr>
          <w:rFonts w:ascii="Times New Roman" w:hAnsi="Times New Roman" w:cs="Times New Roman"/>
          <w:sz w:val="20"/>
          <w:szCs w:val="20"/>
          <w:lang w:val="en-GB"/>
        </w:rPr>
        <w:t>):</w:t>
      </w:r>
      <w:r>
        <w:rPr>
          <w:rFonts w:hint="eastAsia" w:ascii="Times New Roman" w:hAnsi="Times New Roman" w:cs="Times New Roman"/>
          <w:sz w:val="20"/>
          <w:szCs w:val="20"/>
          <w:lang w:val="en-GB"/>
        </w:rPr>
        <w:t xml:space="preserve"> </w:t>
      </w:r>
    </w:p>
    <w:p w14:paraId="148A1D86">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Define the MDT requirements in RRC_IDLE and RRC_INACTIVE state for Red</w:t>
      </w:r>
      <w:r>
        <w:rPr>
          <w:rFonts w:hint="eastAsia" w:cs="Times New Roman" w:eastAsiaTheme="minorEastAsia"/>
          <w:iCs/>
          <w:sz w:val="20"/>
          <w:szCs w:val="20"/>
          <w:lang w:val="en-US" w:eastAsia="zh-CN"/>
        </w:rPr>
        <w:t>C</w:t>
      </w:r>
      <w:r>
        <w:rPr>
          <w:rFonts w:ascii="Times New Roman" w:hAnsi="Times New Roman" w:cs="Times New Roman" w:eastAsiaTheme="minorEastAsia"/>
          <w:iCs/>
          <w:sz w:val="20"/>
          <w:szCs w:val="20"/>
        </w:rPr>
        <w:t>ap over NTN, if the related features are supported in RAN1/2 spec.</w:t>
      </w:r>
    </w:p>
    <w:p w14:paraId="5AEBB752">
      <w:pPr>
        <w:pStyle w:val="29"/>
        <w:numPr>
          <w:ilvl w:val="2"/>
          <w:numId w:val="6"/>
        </w:numPr>
        <w:contextualSpacing w:val="0"/>
        <w:rPr>
          <w:rFonts w:ascii="Times New Roman" w:hAnsi="Times New Roman" w:cs="Times New Roman"/>
          <w:sz w:val="20"/>
          <w:szCs w:val="20"/>
          <w:lang w:val="en-GB"/>
        </w:rPr>
      </w:pPr>
      <w:r>
        <w:rPr>
          <w:rFonts w:ascii="Times New Roman" w:hAnsi="Times New Roman" w:cs="Times New Roman"/>
          <w:sz w:val="20"/>
          <w:szCs w:val="20"/>
          <w:lang w:val="en-GB"/>
        </w:rPr>
        <w:t xml:space="preserve">Proposal </w:t>
      </w:r>
      <w:r>
        <w:rPr>
          <w:rFonts w:hint="eastAsia" w:ascii="Times New Roman" w:hAnsi="Times New Roman" w:cs="Times New Roman"/>
          <w:sz w:val="20"/>
          <w:szCs w:val="20"/>
          <w:lang w:val="en-GB"/>
        </w:rPr>
        <w:t>3</w:t>
      </w:r>
      <w:r>
        <w:rPr>
          <w:rFonts w:ascii="Times New Roman" w:hAnsi="Times New Roman" w:cs="Times New Roman"/>
          <w:sz w:val="20"/>
          <w:szCs w:val="20"/>
          <w:lang w:val="en-GB"/>
        </w:rPr>
        <w:t xml:space="preserve"> (</w:t>
      </w:r>
      <w:r>
        <w:rPr>
          <w:rFonts w:hint="eastAsia" w:ascii="Times New Roman" w:hAnsi="Times New Roman" w:cs="Times New Roman"/>
          <w:sz w:val="20"/>
          <w:szCs w:val="20"/>
          <w:lang w:val="en-GB"/>
        </w:rPr>
        <w:t>ZTE</w:t>
      </w:r>
      <w:r>
        <w:rPr>
          <w:rFonts w:ascii="Times New Roman" w:hAnsi="Times New Roman" w:cs="Times New Roman"/>
          <w:sz w:val="20"/>
          <w:szCs w:val="20"/>
          <w:lang w:val="en-GB"/>
        </w:rPr>
        <w:t>):</w:t>
      </w:r>
      <w:r>
        <w:rPr>
          <w:rFonts w:hint="eastAsia" w:ascii="Times New Roman" w:hAnsi="Times New Roman" w:cs="Times New Roman"/>
          <w:sz w:val="20"/>
          <w:szCs w:val="20"/>
          <w:lang w:val="en-GB"/>
        </w:rPr>
        <w:t xml:space="preserve"> </w:t>
      </w:r>
    </w:p>
    <w:p w14:paraId="0388DC9B">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color w:val="00B050"/>
          <w:sz w:val="20"/>
          <w:szCs w:val="20"/>
          <w:lang w:val="en-GB"/>
        </w:rPr>
      </w:pPr>
      <w:r>
        <w:rPr>
          <w:rFonts w:hint="eastAsia" w:ascii="Times New Roman" w:hAnsi="Times New Roman" w:cs="Times New Roman" w:eastAsiaTheme="minorEastAsia"/>
          <w:iCs/>
          <w:sz w:val="20"/>
          <w:szCs w:val="20"/>
        </w:rPr>
        <w:t>RAN4 shall consider NTN cell size and RedCap UE capability and then decide whether to define relevant requirements.</w:t>
      </w:r>
    </w:p>
    <w:p w14:paraId="5564071E">
      <w:pPr>
        <w:pStyle w:val="29"/>
        <w:numPr>
          <w:numId w:val="0"/>
        </w:numPr>
        <w:spacing w:after="120"/>
        <w:contextualSpacing w:val="0"/>
        <w:rPr>
          <w:rFonts w:hint="eastAsia" w:ascii="Times New Roman" w:hAnsi="Times New Roman" w:cs="Times New Roman" w:eastAsiaTheme="minorEastAsia"/>
          <w:iCs/>
          <w:sz w:val="20"/>
          <w:szCs w:val="20"/>
          <w:lang w:val="en-GB"/>
        </w:rPr>
      </w:pPr>
    </w:p>
    <w:p w14:paraId="771A6C60">
      <w:pPr>
        <w:pStyle w:val="4"/>
        <w:numPr>
          <w:ilvl w:val="2"/>
          <w:numId w:val="0"/>
        </w:numPr>
        <w:spacing w:before="120" w:after="180" w:line="240" w:lineRule="auto"/>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1</w:t>
      </w:r>
      <w:r>
        <w:rPr>
          <w:rFonts w:ascii="Times New Roman" w:hAnsi="Times New Roman" w:cs="Times New Roman"/>
          <w:sz w:val="24"/>
          <w:szCs w:val="16"/>
        </w:rPr>
        <w:t>-</w:t>
      </w:r>
      <w:r>
        <w:rPr>
          <w:rFonts w:hint="eastAsia" w:ascii="Times New Roman" w:hAnsi="Times New Roman" w:cs="Times New Roman"/>
          <w:sz w:val="24"/>
          <w:szCs w:val="16"/>
        </w:rPr>
        <w:t xml:space="preserve">2 </w:t>
      </w:r>
      <w:r>
        <w:rPr>
          <w:rFonts w:ascii="Times New Roman" w:hAnsi="Times New Roman" w:cs="Times New Roman"/>
          <w:sz w:val="24"/>
          <w:szCs w:val="16"/>
        </w:rPr>
        <w:t>Features to be considered for (e)RedCap UE with FR1-NTN</w:t>
      </w:r>
    </w:p>
    <w:p w14:paraId="57263695">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R</w:t>
      </w:r>
      <w:r>
        <w:rPr>
          <w:rFonts w:ascii="Times New Roman" w:hAnsi="Times New Roman" w:cs="Times New Roman"/>
          <w:sz w:val="20"/>
          <w:u w:val="single"/>
          <w:lang w:eastAsia="ko-KR"/>
        </w:rPr>
        <w:t>elaxed measurement</w:t>
      </w:r>
    </w:p>
    <w:p w14:paraId="59F2A81A">
      <w:r>
        <w:rPr>
          <w:rFonts w:hint="eastAsia" w:cs="Times New Roman"/>
          <w:i/>
          <w:iCs/>
          <w:color w:val="0070C0"/>
          <w:sz w:val="20"/>
          <w:u w:val="none"/>
          <w:lang w:val="en-US" w:eastAsia="zh-CN"/>
        </w:rPr>
        <w:t>Online agreement</w:t>
      </w:r>
    </w:p>
    <w:p w14:paraId="6ED0B5F4">
      <w:pPr>
        <w:snapToGrid w:val="0"/>
        <w:spacing w:after="120"/>
        <w:rPr>
          <w:highlight w:val="green"/>
        </w:rPr>
      </w:pPr>
      <w:r>
        <w:rPr>
          <w:b/>
          <w:szCs w:val="24"/>
          <w:highlight w:val="green"/>
          <w:lang w:eastAsia="zh-CN"/>
        </w:rPr>
        <w:t>&lt; Agreement &gt;</w:t>
      </w:r>
      <w:r>
        <w:rPr>
          <w:rFonts w:hint="eastAsia"/>
          <w:b/>
          <w:szCs w:val="24"/>
          <w:highlight w:val="green"/>
          <w:lang w:val="en-US" w:eastAsia="zh-CN"/>
        </w:rPr>
        <w:t>:</w:t>
      </w:r>
    </w:p>
    <w:p w14:paraId="015D64BB">
      <w:pPr>
        <w:pStyle w:val="29"/>
        <w:numPr>
          <w:ilvl w:val="0"/>
          <w:numId w:val="6"/>
        </w:numPr>
        <w:spacing w:after="120"/>
        <w:contextualSpacing w:val="0"/>
        <w:rPr>
          <w:rFonts w:eastAsia="等线"/>
          <w:iCs/>
          <w:szCs w:val="21"/>
          <w:highlight w:val="none"/>
        </w:rPr>
      </w:pPr>
      <w:r>
        <w:rPr>
          <w:rFonts w:eastAsia="等线"/>
          <w:iCs/>
          <w:szCs w:val="21"/>
          <w:highlight w:val="none"/>
        </w:rPr>
        <w:t>For supported types of relaxations for (e)RedCap UE with FR1-NTN,</w:t>
      </w:r>
    </w:p>
    <w:p w14:paraId="381A2E94">
      <w:pPr>
        <w:pStyle w:val="29"/>
        <w:numPr>
          <w:ilvl w:val="1"/>
          <w:numId w:val="6"/>
        </w:numPr>
        <w:spacing w:after="120"/>
        <w:contextualSpacing w:val="0"/>
        <w:rPr>
          <w:iCs/>
          <w:szCs w:val="21"/>
          <w:highlight w:val="none"/>
        </w:rPr>
      </w:pPr>
      <w:r>
        <w:rPr>
          <w:iCs/>
          <w:szCs w:val="21"/>
          <w:highlight w:val="none"/>
        </w:rPr>
        <w:t>Only to support R17 NR NTN relaxations in GSO (corresponding to the TN R16 relaxation) for cell re</w:t>
      </w:r>
      <w:r>
        <w:rPr>
          <w:rFonts w:hint="eastAsia"/>
          <w:iCs/>
          <w:szCs w:val="21"/>
          <w:highlight w:val="none"/>
          <w:lang w:val="en-US" w:eastAsia="zh-CN"/>
        </w:rPr>
        <w:t>-</w:t>
      </w:r>
      <w:r>
        <w:rPr>
          <w:iCs/>
          <w:szCs w:val="21"/>
          <w:highlight w:val="none"/>
        </w:rPr>
        <w:t xml:space="preserve">selection. </w:t>
      </w:r>
    </w:p>
    <w:p w14:paraId="7E624E24">
      <w:pPr>
        <w:pStyle w:val="29"/>
        <w:numPr>
          <w:ilvl w:val="0"/>
          <w:numId w:val="6"/>
        </w:numPr>
        <w:spacing w:after="120"/>
        <w:contextualSpacing w:val="0"/>
        <w:rPr>
          <w:rFonts w:eastAsia="等线"/>
          <w:iCs/>
          <w:szCs w:val="21"/>
          <w:highlight w:val="none"/>
        </w:rPr>
      </w:pPr>
      <w:r>
        <w:rPr>
          <w:rFonts w:eastAsia="等线"/>
          <w:iCs/>
          <w:szCs w:val="21"/>
          <w:highlight w:val="none"/>
        </w:rPr>
        <w:t>RAN4 to further discuss the thresholds and specific relaxation factor.</w:t>
      </w:r>
    </w:p>
    <w:p w14:paraId="0A273B46">
      <w:pPr>
        <w:pStyle w:val="29"/>
        <w:snapToGrid w:val="0"/>
        <w:spacing w:before="120" w:after="120"/>
        <w:ind w:left="2376"/>
        <w:contextualSpacing w:val="0"/>
        <w:rPr>
          <w:rFonts w:ascii="Times New Roman" w:hAnsi="Times New Roman" w:cs="Times New Roman"/>
          <w:sz w:val="20"/>
        </w:rPr>
      </w:pPr>
    </w:p>
    <w:p w14:paraId="6002082E">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 eDRX</w:t>
      </w:r>
      <w:r>
        <w:rPr>
          <w:rFonts w:hint="eastAsia" w:ascii="Times New Roman" w:hAnsi="Times New Roman" w:cs="Times New Roman"/>
          <w:sz w:val="20"/>
          <w:u w:val="single"/>
        </w:rPr>
        <w:t xml:space="preserve"> </w:t>
      </w:r>
      <w:r>
        <w:rPr>
          <w:rFonts w:ascii="Times New Roman" w:hAnsi="Times New Roman" w:cs="Times New Roman"/>
          <w:sz w:val="20"/>
          <w:u w:val="single"/>
        </w:rPr>
        <w:t>configuration</w:t>
      </w:r>
    </w:p>
    <w:p w14:paraId="3ECEB628">
      <w:r>
        <w:rPr>
          <w:rFonts w:hint="eastAsia" w:cs="Times New Roman"/>
          <w:i/>
          <w:iCs/>
          <w:color w:val="0070C0"/>
          <w:sz w:val="20"/>
          <w:u w:val="none"/>
          <w:lang w:val="en-US" w:eastAsia="zh-CN"/>
        </w:rPr>
        <w:t>Online agreement</w:t>
      </w:r>
    </w:p>
    <w:p w14:paraId="56BE1E28">
      <w:pPr>
        <w:snapToGrid w:val="0"/>
        <w:spacing w:after="120"/>
        <w:rPr>
          <w:highlight w:val="green"/>
        </w:rPr>
      </w:pPr>
      <w:r>
        <w:rPr>
          <w:b/>
          <w:szCs w:val="24"/>
          <w:highlight w:val="green"/>
          <w:lang w:eastAsia="zh-CN"/>
        </w:rPr>
        <w:t>&lt; Agreement &gt;</w:t>
      </w:r>
      <w:r>
        <w:rPr>
          <w:rFonts w:hint="eastAsia"/>
          <w:b/>
          <w:szCs w:val="24"/>
          <w:highlight w:val="green"/>
          <w:lang w:val="en-US" w:eastAsia="zh-CN"/>
        </w:rPr>
        <w:t>:</w:t>
      </w:r>
    </w:p>
    <w:p w14:paraId="4E09F353">
      <w:pPr>
        <w:pStyle w:val="29"/>
        <w:numPr>
          <w:ilvl w:val="0"/>
          <w:numId w:val="6"/>
        </w:numPr>
        <w:spacing w:after="120"/>
        <w:contextualSpacing w:val="0"/>
        <w:rPr>
          <w:szCs w:val="21"/>
          <w:highlight w:val="none"/>
        </w:rPr>
      </w:pPr>
      <w:r>
        <w:rPr>
          <w:szCs w:val="21"/>
          <w:highlight w:val="none"/>
        </w:rPr>
        <w:t>For earth-moving LEO scenario:</w:t>
      </w:r>
    </w:p>
    <w:p w14:paraId="024CD401">
      <w:pPr>
        <w:pStyle w:val="29"/>
        <w:numPr>
          <w:ilvl w:val="1"/>
          <w:numId w:val="6"/>
        </w:numPr>
        <w:spacing w:after="120"/>
        <w:contextualSpacing w:val="0"/>
        <w:rPr>
          <w:szCs w:val="21"/>
          <w:highlight w:val="none"/>
        </w:rPr>
      </w:pPr>
      <w:r>
        <w:rPr>
          <w:szCs w:val="21"/>
          <w:highlight w:val="none"/>
        </w:rPr>
        <w:t>All eDRX cycle cannot be applied for RedCap/eRedCap UEs in NTN and not to define requirements for eDRX in earth-moving beam LEO scenario.</w:t>
      </w:r>
    </w:p>
    <w:p w14:paraId="48C4ADD7">
      <w:pPr>
        <w:pStyle w:val="29"/>
        <w:numPr>
          <w:ilvl w:val="0"/>
          <w:numId w:val="6"/>
        </w:numPr>
        <w:spacing w:after="120"/>
        <w:contextualSpacing w:val="0"/>
        <w:rPr>
          <w:szCs w:val="21"/>
          <w:highlight w:val="none"/>
        </w:rPr>
      </w:pPr>
      <w:r>
        <w:rPr>
          <w:szCs w:val="21"/>
          <w:highlight w:val="none"/>
        </w:rPr>
        <w:t>For quasi-earth fixed LEO scenario:</w:t>
      </w:r>
    </w:p>
    <w:p w14:paraId="6E9A23CB">
      <w:pPr>
        <w:pStyle w:val="29"/>
        <w:numPr>
          <w:ilvl w:val="1"/>
          <w:numId w:val="6"/>
        </w:numPr>
        <w:spacing w:after="120"/>
        <w:contextualSpacing w:val="0"/>
        <w:rPr>
          <w:szCs w:val="21"/>
          <w:highlight w:val="none"/>
        </w:rPr>
      </w:pPr>
      <w:r>
        <w:rPr>
          <w:szCs w:val="21"/>
          <w:highlight w:val="none"/>
        </w:rPr>
        <w:t>Define eDRX related requirements in RRC_Idle / RRC_Inactive mode for (e)RedCap UE with FR1-NTN.</w:t>
      </w:r>
    </w:p>
    <w:p w14:paraId="0F83C135">
      <w:pPr>
        <w:pStyle w:val="29"/>
        <w:numPr>
          <w:ilvl w:val="2"/>
          <w:numId w:val="6"/>
        </w:numPr>
        <w:snapToGrid w:val="0"/>
        <w:ind w:hanging="357"/>
        <w:rPr>
          <w:szCs w:val="21"/>
          <w:highlight w:val="none"/>
        </w:rPr>
      </w:pPr>
      <w:r>
        <w:rPr>
          <w:szCs w:val="21"/>
          <w:highlight w:val="none"/>
        </w:rPr>
        <w:t>Requirements are applicable for 2.56s and 5.12s eDRX cycle</w:t>
      </w:r>
    </w:p>
    <w:p w14:paraId="1CBBBD81">
      <w:pPr>
        <w:pStyle w:val="29"/>
        <w:numPr>
          <w:ilvl w:val="2"/>
          <w:numId w:val="6"/>
        </w:numPr>
        <w:snapToGrid w:val="0"/>
        <w:ind w:hanging="357"/>
      </w:pPr>
      <w:r>
        <w:rPr>
          <w:szCs w:val="21"/>
          <w:highlight w:val="none"/>
        </w:rPr>
        <w:t>FFS for 10.24s eDRX cycle and larger than 10.24s eDRX cycle</w:t>
      </w:r>
    </w:p>
    <w:p w14:paraId="677719B6">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Issue 1-2-3: Concurrent gap</w:t>
      </w:r>
    </w:p>
    <w:p w14:paraId="708DAEAB">
      <w:pPr>
        <w:rPr>
          <w:rFonts w:hint="default" w:eastAsia="宋体"/>
          <w:i/>
          <w:iCs/>
          <w:color w:val="0070C0"/>
          <w:u w:val="none"/>
          <w:lang w:val="en-US" w:eastAsia="zh-CN"/>
        </w:rPr>
      </w:pPr>
      <w:r>
        <w:rPr>
          <w:rFonts w:hint="eastAsia" w:cs="Times New Roman"/>
          <w:i/>
          <w:iCs/>
          <w:color w:val="0070C0"/>
          <w:sz w:val="20"/>
          <w:u w:val="none"/>
          <w:lang w:val="en-US" w:eastAsia="zh-CN"/>
        </w:rPr>
        <w:t>Online agreement</w:t>
      </w:r>
    </w:p>
    <w:p w14:paraId="7820C42C">
      <w:pPr>
        <w:snapToGrid w:val="0"/>
        <w:spacing w:after="120"/>
        <w:rPr>
          <w:highlight w:val="green"/>
        </w:rPr>
      </w:pPr>
      <w:r>
        <w:rPr>
          <w:b/>
          <w:szCs w:val="24"/>
          <w:highlight w:val="green"/>
          <w:lang w:eastAsia="zh-CN"/>
        </w:rPr>
        <w:t>&lt; Agreement &gt;</w:t>
      </w:r>
      <w:r>
        <w:rPr>
          <w:rFonts w:hint="eastAsia"/>
          <w:b/>
          <w:szCs w:val="24"/>
          <w:highlight w:val="green"/>
          <w:lang w:val="en-US" w:eastAsia="zh-CN"/>
        </w:rPr>
        <w:t>:</w:t>
      </w:r>
    </w:p>
    <w:p w14:paraId="57105704">
      <w:pPr>
        <w:pStyle w:val="29"/>
        <w:numPr>
          <w:ilvl w:val="0"/>
          <w:numId w:val="6"/>
        </w:numPr>
        <w:spacing w:after="120"/>
        <w:contextualSpacing w:val="0"/>
        <w:rPr>
          <w:rFonts w:eastAsia="等线"/>
          <w:iCs/>
          <w:szCs w:val="21"/>
          <w:highlight w:val="none"/>
        </w:rPr>
      </w:pPr>
      <w:r>
        <w:rPr>
          <w:rFonts w:eastAsia="等线"/>
          <w:iCs/>
          <w:szCs w:val="21"/>
          <w:highlight w:val="none"/>
        </w:rPr>
        <w:t>Deprioritize parallel measurement gap for (e)RedCap UE</w:t>
      </w:r>
      <w:r>
        <w:rPr>
          <w:rFonts w:hint="eastAsia" w:eastAsia="等线"/>
          <w:iCs/>
          <w:szCs w:val="21"/>
          <w:highlight w:val="none"/>
          <w:lang w:val="en-US" w:eastAsia="zh-CN"/>
        </w:rPr>
        <w:t>s</w:t>
      </w:r>
      <w:r>
        <w:rPr>
          <w:rFonts w:eastAsia="等线"/>
          <w:iCs/>
          <w:szCs w:val="21"/>
          <w:highlight w:val="none"/>
        </w:rPr>
        <w:t xml:space="preserve"> in NTN. </w:t>
      </w:r>
    </w:p>
    <w:p w14:paraId="660E4EBF">
      <w:pPr>
        <w:pStyle w:val="29"/>
        <w:numPr>
          <w:ilvl w:val="0"/>
          <w:numId w:val="6"/>
        </w:numPr>
        <w:spacing w:after="120"/>
        <w:contextualSpacing w:val="0"/>
        <w:sectPr>
          <w:footnotePr>
            <w:numRestart w:val="eachSect"/>
          </w:footnotePr>
          <w:pgSz w:w="11906" w:h="16838"/>
          <w:pgMar w:top="1416" w:right="1133" w:bottom="1133" w:left="1133" w:header="850" w:footer="340" w:gutter="0"/>
          <w:cols w:space="720" w:num="1"/>
          <w:formProt w:val="0"/>
          <w:docGrid w:linePitch="272" w:charSpace="0"/>
        </w:sectPr>
      </w:pPr>
      <w:r>
        <w:rPr>
          <w:rFonts w:eastAsia="等线"/>
          <w:iCs/>
          <w:szCs w:val="21"/>
          <w:highlight w:val="none"/>
        </w:rPr>
        <w:t xml:space="preserve">Come back to this issue at Apr 2025 meeting. </w:t>
      </w:r>
    </w:p>
    <w:p w14:paraId="64278BA1"/>
    <w:p w14:paraId="18C4A937">
      <w:pPr>
        <w:pStyle w:val="5"/>
        <w:spacing w:before="120" w:after="120" w:line="240" w:lineRule="auto"/>
        <w:rPr>
          <w:rFonts w:ascii="Times New Roman" w:hAnsi="Times New Roman" w:eastAsia="宋体"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4</w:t>
      </w:r>
      <w:r>
        <w:rPr>
          <w:rFonts w:ascii="Times New Roman" w:hAnsi="Times New Roman" w:cs="Times New Roman"/>
          <w:sz w:val="20"/>
          <w:u w:val="single"/>
          <w:lang w:eastAsia="ko-KR"/>
        </w:rPr>
        <w:t>:</w:t>
      </w:r>
      <w:r>
        <w:rPr>
          <w:rFonts w:ascii="Times New Roman" w:hAnsi="Times New Roman" w:eastAsia="宋体" w:cs="Times New Roman"/>
          <w:sz w:val="20"/>
          <w:u w:val="single"/>
          <w:lang w:eastAsia="ko-KR"/>
        </w:rPr>
        <w:t xml:space="preserve"> Multiple SMTCs</w:t>
      </w:r>
    </w:p>
    <w:p w14:paraId="41B3F383">
      <w:pPr>
        <w:pStyle w:val="29"/>
        <w:numPr>
          <w:ilvl w:val="0"/>
          <w:numId w:val="6"/>
        </w:numPr>
        <w:spacing w:after="120"/>
        <w:ind w:left="720"/>
        <w:contextualSpacing w:val="0"/>
        <w:rPr>
          <w:rFonts w:ascii="Times New Roman" w:hAnsi="Times New Roman" w:cs="Times New Roman"/>
          <w:sz w:val="20"/>
          <w:szCs w:val="20"/>
        </w:rPr>
      </w:pPr>
      <w:r>
        <w:rPr>
          <w:rFonts w:hint="eastAsia" w:ascii="Times New Roman" w:hAnsi="Times New Roman" w:cs="Times New Roman"/>
          <w:sz w:val="20"/>
          <w:szCs w:val="20"/>
        </w:rPr>
        <w:t>Background</w:t>
      </w:r>
    </w:p>
    <w:p w14:paraId="168E1633">
      <w:pPr>
        <w:rPr>
          <w:rFonts w:hint="default" w:ascii="Times New Roman" w:hAnsi="Times New Roman" w:cs="Times New Roman"/>
          <w:sz w:val="20"/>
          <w:szCs w:val="20"/>
        </w:rPr>
      </w:pPr>
      <w:r>
        <w:rPr>
          <w:rFonts w:hint="eastAsia"/>
          <w:i/>
          <w:iCs/>
          <w:color w:val="0070C0"/>
          <w:lang w:val="en-US" w:eastAsia="zh-CN"/>
        </w:rPr>
        <w:t>R17 NTN UE capabilities related to 'in parallel' are copied as follows:</w:t>
      </w:r>
    </w:p>
    <w:tbl>
      <w:tblPr>
        <w:tblStyle w:val="19"/>
        <w:tblW w:w="18654"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667"/>
        <w:gridCol w:w="988"/>
        <w:gridCol w:w="2000"/>
        <w:gridCol w:w="2073"/>
        <w:gridCol w:w="889"/>
        <w:gridCol w:w="2132"/>
        <w:gridCol w:w="1682"/>
        <w:gridCol w:w="1164"/>
        <w:gridCol w:w="1082"/>
        <w:gridCol w:w="2214"/>
        <w:gridCol w:w="2763"/>
      </w:tblGrid>
      <w:tr w14:paraId="714FEC6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667"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14:paraId="504E03D9">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bookmarkStart w:id="17" w:name="_Hlk183064062"/>
            <w:r>
              <w:rPr>
                <w:rFonts w:hint="default" w:ascii="Times New Roman" w:hAnsi="Times New Roman" w:cs="Times New Roman"/>
                <w:b/>
                <w:bCs/>
                <w:color w:val="0070C0"/>
                <w:sz w:val="18"/>
                <w:szCs w:val="18"/>
                <w:lang w:val="en-US"/>
              </w:rPr>
              <w:t>Features</w:t>
            </w:r>
            <w:bookmarkEnd w:id="17"/>
          </w:p>
        </w:tc>
        <w:tc>
          <w:tcPr>
            <w:tcW w:w="988"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352B2152">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Index</w:t>
            </w:r>
          </w:p>
        </w:tc>
        <w:tc>
          <w:tcPr>
            <w:tcW w:w="2000"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638F2119">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Feature group</w:t>
            </w:r>
          </w:p>
        </w:tc>
        <w:tc>
          <w:tcPr>
            <w:tcW w:w="2073"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4B30861C">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Components</w:t>
            </w:r>
          </w:p>
        </w:tc>
        <w:tc>
          <w:tcPr>
            <w:tcW w:w="889"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449422DD">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Prerequisite feature groups</w:t>
            </w:r>
          </w:p>
        </w:tc>
        <w:tc>
          <w:tcPr>
            <w:tcW w:w="2132"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1A6AF7B1">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Field name in TS 38.331 [2]</w:t>
            </w:r>
          </w:p>
        </w:tc>
        <w:tc>
          <w:tcPr>
            <w:tcW w:w="1682"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1E47E296">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Parent IE in TS 38.331 [2]</w:t>
            </w:r>
          </w:p>
        </w:tc>
        <w:tc>
          <w:tcPr>
            <w:tcW w:w="116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10762BD6">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Need of FDD/TDD differentiation</w:t>
            </w:r>
          </w:p>
        </w:tc>
        <w:tc>
          <w:tcPr>
            <w:tcW w:w="1082"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5213B604">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Need of FR1/FR2 differentiation</w:t>
            </w:r>
          </w:p>
        </w:tc>
        <w:tc>
          <w:tcPr>
            <w:tcW w:w="221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01538CF7">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Note</w:t>
            </w:r>
          </w:p>
        </w:tc>
        <w:tc>
          <w:tcPr>
            <w:tcW w:w="2763"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14:paraId="28D5427F">
            <w:pPr>
              <w:pStyle w:val="17"/>
              <w:keepNext w:val="0"/>
              <w:keepLines w:val="0"/>
              <w:widowControl/>
              <w:suppressLineNumbers w:val="0"/>
              <w:spacing w:before="0" w:beforeAutospacing="0" w:after="0" w:afterAutospacing="0"/>
              <w:ind w:left="0" w:right="0"/>
              <w:jc w:val="center"/>
              <w:rPr>
                <w:rFonts w:hint="default" w:ascii="Times New Roman" w:hAnsi="Times New Roman" w:cs="Times New Roman"/>
                <w:b/>
                <w:bCs/>
                <w:color w:val="0070C0"/>
                <w:sz w:val="18"/>
                <w:szCs w:val="18"/>
              </w:rPr>
            </w:pPr>
            <w:r>
              <w:rPr>
                <w:rFonts w:hint="default" w:ascii="Times New Roman" w:hAnsi="Times New Roman" w:cs="Times New Roman"/>
                <w:b/>
                <w:bCs/>
                <w:color w:val="0070C0"/>
                <w:sz w:val="18"/>
                <w:szCs w:val="18"/>
                <w:lang w:val="en-US"/>
              </w:rPr>
              <w:t>Mandatory/Optional</w:t>
            </w:r>
          </w:p>
        </w:tc>
      </w:tr>
      <w:tr w14:paraId="38D3B99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667"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14:paraId="584AAA5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25. NR_NTN_solutions</w:t>
            </w:r>
          </w:p>
        </w:tc>
        <w:tc>
          <w:tcPr>
            <w:tcW w:w="988" w:type="dxa"/>
            <w:tcBorders>
              <w:top w:val="nil"/>
              <w:left w:val="nil"/>
              <w:bottom w:val="single" w:color="auto" w:sz="8" w:space="0"/>
              <w:right w:val="single" w:color="auto" w:sz="8" w:space="0"/>
            </w:tcBorders>
            <w:shd w:val="clear" w:color="auto" w:fill="auto"/>
            <w:tcMar>
              <w:left w:w="108" w:type="dxa"/>
              <w:right w:w="108" w:type="dxa"/>
            </w:tcMar>
            <w:vAlign w:val="top"/>
          </w:tcPr>
          <w:p w14:paraId="7E863B7E">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highlight w:val="yellow"/>
              </w:rPr>
            </w:pPr>
            <w:r>
              <w:rPr>
                <w:rFonts w:hint="default" w:ascii="Times New Roman" w:hAnsi="Times New Roman" w:cs="Times New Roman"/>
                <w:color w:val="0070C0"/>
                <w:sz w:val="18"/>
                <w:szCs w:val="18"/>
                <w:highlight w:val="yellow"/>
                <w:lang w:val="en-US"/>
              </w:rPr>
              <w:t>25-1</w:t>
            </w:r>
          </w:p>
        </w:tc>
        <w:tc>
          <w:tcPr>
            <w:tcW w:w="2000" w:type="dxa"/>
            <w:tcBorders>
              <w:top w:val="nil"/>
              <w:left w:val="nil"/>
              <w:bottom w:val="single" w:color="auto" w:sz="8" w:space="0"/>
              <w:right w:val="single" w:color="auto" w:sz="8" w:space="0"/>
            </w:tcBorders>
            <w:shd w:val="clear" w:color="auto" w:fill="auto"/>
            <w:tcMar>
              <w:left w:w="108" w:type="dxa"/>
              <w:right w:w="108" w:type="dxa"/>
            </w:tcMar>
            <w:vAlign w:val="top"/>
          </w:tcPr>
          <w:p w14:paraId="7C630BEE">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highlight w:val="yellow"/>
              </w:rPr>
            </w:pPr>
            <w:r>
              <w:rPr>
                <w:rFonts w:hint="default" w:ascii="Times New Roman" w:hAnsi="Times New Roman" w:cs="Times New Roman"/>
                <w:color w:val="0070C0"/>
                <w:sz w:val="18"/>
                <w:szCs w:val="18"/>
                <w:highlight w:val="yellow"/>
                <w:shd w:val="clear" w:fill="FFFF00"/>
                <w:lang w:val="en-US"/>
              </w:rPr>
              <w:t>Parallel measurements on multiple SMTC-s for a single frequency carrier</w:t>
            </w:r>
          </w:p>
        </w:tc>
        <w:tc>
          <w:tcPr>
            <w:tcW w:w="2073" w:type="dxa"/>
            <w:tcBorders>
              <w:top w:val="nil"/>
              <w:left w:val="nil"/>
              <w:bottom w:val="single" w:color="auto" w:sz="8" w:space="0"/>
              <w:right w:val="single" w:color="auto" w:sz="8" w:space="0"/>
            </w:tcBorders>
            <w:shd w:val="clear" w:color="auto" w:fill="auto"/>
            <w:tcMar>
              <w:left w:w="108" w:type="dxa"/>
              <w:right w:w="108" w:type="dxa"/>
            </w:tcMar>
            <w:vAlign w:val="top"/>
          </w:tcPr>
          <w:p w14:paraId="0D26772B">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Support of measurements on target cells belonging to 4 SMTC-s on a single frequency carrier</w:t>
            </w:r>
          </w:p>
        </w:tc>
        <w:tc>
          <w:tcPr>
            <w:tcW w:w="889" w:type="dxa"/>
            <w:tcBorders>
              <w:top w:val="nil"/>
              <w:left w:val="nil"/>
              <w:bottom w:val="single" w:color="auto" w:sz="8" w:space="0"/>
              <w:right w:val="single" w:color="auto" w:sz="8" w:space="0"/>
            </w:tcBorders>
            <w:shd w:val="clear" w:color="auto" w:fill="auto"/>
            <w:tcMar>
              <w:left w:w="108" w:type="dxa"/>
              <w:right w:w="108" w:type="dxa"/>
            </w:tcMar>
            <w:vAlign w:val="top"/>
          </w:tcPr>
          <w:p w14:paraId="06A6BB5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 </w:t>
            </w:r>
          </w:p>
        </w:tc>
        <w:tc>
          <w:tcPr>
            <w:tcW w:w="2132" w:type="dxa"/>
            <w:tcBorders>
              <w:top w:val="nil"/>
              <w:left w:val="nil"/>
              <w:bottom w:val="single" w:color="auto" w:sz="8" w:space="0"/>
              <w:right w:val="single" w:color="auto" w:sz="8" w:space="0"/>
            </w:tcBorders>
            <w:shd w:val="clear" w:color="auto" w:fill="auto"/>
            <w:tcMar>
              <w:left w:w="108" w:type="dxa"/>
              <w:right w:w="108" w:type="dxa"/>
            </w:tcMar>
            <w:vAlign w:val="top"/>
          </w:tcPr>
          <w:p w14:paraId="3C760DA1">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parallelSMTC-r17</w:t>
            </w:r>
          </w:p>
        </w:tc>
        <w:tc>
          <w:tcPr>
            <w:tcW w:w="1682" w:type="dxa"/>
            <w:tcBorders>
              <w:top w:val="nil"/>
              <w:left w:val="nil"/>
              <w:bottom w:val="single" w:color="auto" w:sz="8" w:space="0"/>
              <w:right w:val="single" w:color="auto" w:sz="8" w:space="0"/>
            </w:tcBorders>
            <w:shd w:val="clear" w:color="auto" w:fill="auto"/>
            <w:tcMar>
              <w:left w:w="108" w:type="dxa"/>
              <w:right w:w="108" w:type="dxa"/>
            </w:tcMar>
            <w:vAlign w:val="top"/>
          </w:tcPr>
          <w:p w14:paraId="09DCAF4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MeasAndMobParametersCommon</w:t>
            </w:r>
          </w:p>
        </w:tc>
        <w:tc>
          <w:tcPr>
            <w:tcW w:w="1164" w:type="dxa"/>
            <w:tcBorders>
              <w:top w:val="nil"/>
              <w:left w:val="nil"/>
              <w:bottom w:val="single" w:color="auto" w:sz="8" w:space="0"/>
              <w:right w:val="single" w:color="auto" w:sz="8" w:space="0"/>
            </w:tcBorders>
            <w:shd w:val="clear" w:color="auto" w:fill="auto"/>
            <w:tcMar>
              <w:left w:w="108" w:type="dxa"/>
              <w:right w:w="108" w:type="dxa"/>
            </w:tcMar>
            <w:vAlign w:val="top"/>
          </w:tcPr>
          <w:p w14:paraId="1741842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FDD only</w:t>
            </w:r>
          </w:p>
        </w:tc>
        <w:tc>
          <w:tcPr>
            <w:tcW w:w="1082" w:type="dxa"/>
            <w:tcBorders>
              <w:top w:val="nil"/>
              <w:left w:val="nil"/>
              <w:bottom w:val="single" w:color="auto" w:sz="8" w:space="0"/>
              <w:right w:val="single" w:color="auto" w:sz="8" w:space="0"/>
            </w:tcBorders>
            <w:shd w:val="clear" w:color="auto" w:fill="auto"/>
            <w:tcMar>
              <w:left w:w="108" w:type="dxa"/>
              <w:right w:w="108" w:type="dxa"/>
            </w:tcMar>
            <w:vAlign w:val="top"/>
          </w:tcPr>
          <w:p w14:paraId="4FEAA76F">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FR1 only</w:t>
            </w:r>
          </w:p>
        </w:tc>
        <w:tc>
          <w:tcPr>
            <w:tcW w:w="2214" w:type="dxa"/>
            <w:tcBorders>
              <w:top w:val="nil"/>
              <w:left w:val="nil"/>
              <w:bottom w:val="single" w:color="auto" w:sz="8" w:space="0"/>
              <w:right w:val="single" w:color="auto" w:sz="8" w:space="0"/>
            </w:tcBorders>
            <w:shd w:val="clear" w:color="auto" w:fill="auto"/>
            <w:tcMar>
              <w:left w:w="108" w:type="dxa"/>
              <w:right w:w="108" w:type="dxa"/>
            </w:tcMar>
            <w:vAlign w:val="top"/>
          </w:tcPr>
          <w:p w14:paraId="1CF9872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UE is mandatory to support 2 and can optionally support 4 if the feature is supported</w:t>
            </w:r>
          </w:p>
        </w:tc>
        <w:tc>
          <w:tcPr>
            <w:tcW w:w="2763" w:type="dxa"/>
            <w:tcBorders>
              <w:top w:val="nil"/>
              <w:left w:val="nil"/>
              <w:bottom w:val="single" w:color="auto" w:sz="8" w:space="0"/>
              <w:right w:val="single" w:color="auto" w:sz="8" w:space="0"/>
            </w:tcBorders>
            <w:shd w:val="clear" w:color="auto" w:fill="auto"/>
            <w:tcMar>
              <w:left w:w="108" w:type="dxa"/>
              <w:right w:w="108" w:type="dxa"/>
            </w:tcMar>
            <w:vAlign w:val="top"/>
          </w:tcPr>
          <w:p w14:paraId="7508277A">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Optional with capability signaling</w:t>
            </w:r>
          </w:p>
        </w:tc>
      </w:tr>
      <w:tr w14:paraId="0DD18E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667"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14:paraId="67CD85C4">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25. NR_NTN_solutions</w:t>
            </w:r>
          </w:p>
        </w:tc>
        <w:tc>
          <w:tcPr>
            <w:tcW w:w="988" w:type="dxa"/>
            <w:tcBorders>
              <w:top w:val="nil"/>
              <w:left w:val="nil"/>
              <w:bottom w:val="single" w:color="auto" w:sz="8" w:space="0"/>
              <w:right w:val="single" w:color="auto" w:sz="8" w:space="0"/>
            </w:tcBorders>
            <w:shd w:val="clear" w:color="auto" w:fill="auto"/>
            <w:tcMar>
              <w:left w:w="108" w:type="dxa"/>
              <w:right w:w="108" w:type="dxa"/>
            </w:tcMar>
            <w:vAlign w:val="top"/>
          </w:tcPr>
          <w:p w14:paraId="7E5023AF">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25-2</w:t>
            </w:r>
          </w:p>
        </w:tc>
        <w:tc>
          <w:tcPr>
            <w:tcW w:w="2000" w:type="dxa"/>
            <w:tcBorders>
              <w:top w:val="nil"/>
              <w:left w:val="nil"/>
              <w:bottom w:val="single" w:color="auto" w:sz="8" w:space="0"/>
              <w:right w:val="single" w:color="auto" w:sz="8" w:space="0"/>
            </w:tcBorders>
            <w:shd w:val="clear" w:color="auto" w:fill="auto"/>
            <w:tcMar>
              <w:left w:w="108" w:type="dxa"/>
              <w:right w:w="108" w:type="dxa"/>
            </w:tcMar>
            <w:vAlign w:val="top"/>
          </w:tcPr>
          <w:p w14:paraId="5AAA6C90">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Parallel measurements on cells belonging to a different NGSO satellite than a serving satellite without scheduling restrictions on normal operations with the serving cell</w:t>
            </w:r>
          </w:p>
        </w:tc>
        <w:tc>
          <w:tcPr>
            <w:tcW w:w="2073" w:type="dxa"/>
            <w:tcBorders>
              <w:top w:val="nil"/>
              <w:left w:val="nil"/>
              <w:bottom w:val="single" w:color="auto" w:sz="8" w:space="0"/>
              <w:right w:val="single" w:color="auto" w:sz="8" w:space="0"/>
            </w:tcBorders>
            <w:shd w:val="clear" w:color="auto" w:fill="auto"/>
            <w:tcMar>
              <w:left w:w="108" w:type="dxa"/>
              <w:right w:w="108" w:type="dxa"/>
            </w:tcMar>
            <w:vAlign w:val="top"/>
          </w:tcPr>
          <w:p w14:paraId="08DF169A">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889" w:type="dxa"/>
            <w:tcBorders>
              <w:top w:val="nil"/>
              <w:left w:val="nil"/>
              <w:bottom w:val="single" w:color="auto" w:sz="8" w:space="0"/>
              <w:right w:val="single" w:color="auto" w:sz="8" w:space="0"/>
            </w:tcBorders>
            <w:shd w:val="clear" w:color="auto" w:fill="auto"/>
            <w:tcMar>
              <w:left w:w="108" w:type="dxa"/>
              <w:right w:w="108" w:type="dxa"/>
            </w:tcMar>
            <w:vAlign w:val="top"/>
          </w:tcPr>
          <w:p w14:paraId="29DC8DAD">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 </w:t>
            </w:r>
          </w:p>
        </w:tc>
        <w:tc>
          <w:tcPr>
            <w:tcW w:w="2132" w:type="dxa"/>
            <w:tcBorders>
              <w:top w:val="nil"/>
              <w:left w:val="nil"/>
              <w:bottom w:val="single" w:color="auto" w:sz="8" w:space="0"/>
              <w:right w:val="single" w:color="auto" w:sz="8" w:space="0"/>
            </w:tcBorders>
            <w:shd w:val="clear" w:color="auto" w:fill="auto"/>
            <w:tcMar>
              <w:left w:w="108" w:type="dxa"/>
              <w:right w:w="108" w:type="dxa"/>
            </w:tcMar>
            <w:vAlign w:val="top"/>
          </w:tcPr>
          <w:p w14:paraId="1CEEFE6C">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parallelMeasurementWithoutRestriction-r17</w:t>
            </w:r>
          </w:p>
        </w:tc>
        <w:tc>
          <w:tcPr>
            <w:tcW w:w="1682" w:type="dxa"/>
            <w:tcBorders>
              <w:top w:val="nil"/>
              <w:left w:val="nil"/>
              <w:bottom w:val="single" w:color="auto" w:sz="8" w:space="0"/>
              <w:right w:val="single" w:color="auto" w:sz="8" w:space="0"/>
            </w:tcBorders>
            <w:shd w:val="clear" w:color="auto" w:fill="auto"/>
            <w:tcMar>
              <w:left w:w="108" w:type="dxa"/>
              <w:right w:w="108" w:type="dxa"/>
            </w:tcMar>
            <w:vAlign w:val="top"/>
          </w:tcPr>
          <w:p w14:paraId="19412510">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BandNR</w:t>
            </w:r>
          </w:p>
        </w:tc>
        <w:tc>
          <w:tcPr>
            <w:tcW w:w="1164" w:type="dxa"/>
            <w:tcBorders>
              <w:top w:val="nil"/>
              <w:left w:val="nil"/>
              <w:bottom w:val="single" w:color="auto" w:sz="8" w:space="0"/>
              <w:right w:val="single" w:color="auto" w:sz="8" w:space="0"/>
            </w:tcBorders>
            <w:shd w:val="clear" w:color="auto" w:fill="auto"/>
            <w:tcMar>
              <w:left w:w="108" w:type="dxa"/>
              <w:right w:w="108" w:type="dxa"/>
            </w:tcMar>
            <w:vAlign w:val="top"/>
          </w:tcPr>
          <w:p w14:paraId="0E41046C">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FDD only</w:t>
            </w:r>
          </w:p>
        </w:tc>
        <w:tc>
          <w:tcPr>
            <w:tcW w:w="1082" w:type="dxa"/>
            <w:tcBorders>
              <w:top w:val="nil"/>
              <w:left w:val="nil"/>
              <w:bottom w:val="single" w:color="auto" w:sz="8" w:space="0"/>
              <w:right w:val="single" w:color="auto" w:sz="8" w:space="0"/>
            </w:tcBorders>
            <w:shd w:val="clear" w:color="auto" w:fill="auto"/>
            <w:tcMar>
              <w:left w:w="108" w:type="dxa"/>
              <w:right w:w="108" w:type="dxa"/>
            </w:tcMar>
            <w:vAlign w:val="top"/>
          </w:tcPr>
          <w:p w14:paraId="7B997408">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FR1 only</w:t>
            </w:r>
          </w:p>
        </w:tc>
        <w:tc>
          <w:tcPr>
            <w:tcW w:w="2214" w:type="dxa"/>
            <w:tcBorders>
              <w:top w:val="nil"/>
              <w:left w:val="nil"/>
              <w:bottom w:val="single" w:color="auto" w:sz="8" w:space="0"/>
              <w:right w:val="single" w:color="auto" w:sz="8" w:space="0"/>
            </w:tcBorders>
            <w:shd w:val="clear" w:color="auto" w:fill="auto"/>
            <w:tcMar>
              <w:left w:w="108" w:type="dxa"/>
              <w:right w:w="108" w:type="dxa"/>
            </w:tcMar>
            <w:vAlign w:val="top"/>
          </w:tcPr>
          <w:p w14:paraId="37B352C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For UEs not able to perform measurements in parallel with normal operation of serving cell scheduling restrictions shall apply.</w:t>
            </w:r>
          </w:p>
        </w:tc>
        <w:tc>
          <w:tcPr>
            <w:tcW w:w="2763" w:type="dxa"/>
            <w:tcBorders>
              <w:top w:val="nil"/>
              <w:left w:val="nil"/>
              <w:bottom w:val="single" w:color="auto" w:sz="8" w:space="0"/>
              <w:right w:val="single" w:color="auto" w:sz="8" w:space="0"/>
            </w:tcBorders>
            <w:shd w:val="clear" w:color="auto" w:fill="auto"/>
            <w:tcMar>
              <w:left w:w="108" w:type="dxa"/>
              <w:right w:w="108" w:type="dxa"/>
            </w:tcMar>
            <w:vAlign w:val="top"/>
          </w:tcPr>
          <w:p w14:paraId="5B713D4F">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Optional with capability signaling</w:t>
            </w:r>
          </w:p>
        </w:tc>
      </w:tr>
      <w:tr w14:paraId="3210FC7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70" w:hRule="atLeast"/>
        </w:trPr>
        <w:tc>
          <w:tcPr>
            <w:tcW w:w="1667"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14:paraId="323C7A9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25. NR_NTN_solutions</w:t>
            </w:r>
          </w:p>
        </w:tc>
        <w:tc>
          <w:tcPr>
            <w:tcW w:w="988" w:type="dxa"/>
            <w:tcBorders>
              <w:top w:val="nil"/>
              <w:left w:val="nil"/>
              <w:bottom w:val="single" w:color="auto" w:sz="8" w:space="0"/>
              <w:right w:val="single" w:color="auto" w:sz="8" w:space="0"/>
            </w:tcBorders>
            <w:shd w:val="clear" w:color="auto" w:fill="auto"/>
            <w:tcMar>
              <w:left w:w="108" w:type="dxa"/>
              <w:right w:w="108" w:type="dxa"/>
            </w:tcMar>
            <w:vAlign w:val="top"/>
          </w:tcPr>
          <w:p w14:paraId="566A9328">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25-3</w:t>
            </w:r>
          </w:p>
        </w:tc>
        <w:tc>
          <w:tcPr>
            <w:tcW w:w="2000" w:type="dxa"/>
            <w:tcBorders>
              <w:top w:val="nil"/>
              <w:left w:val="nil"/>
              <w:bottom w:val="single" w:color="auto" w:sz="8" w:space="0"/>
              <w:right w:val="single" w:color="auto" w:sz="8" w:space="0"/>
            </w:tcBorders>
            <w:shd w:val="clear" w:color="auto" w:fill="auto"/>
            <w:tcMar>
              <w:left w:w="108" w:type="dxa"/>
              <w:right w:w="108" w:type="dxa"/>
            </w:tcMar>
            <w:vAlign w:val="top"/>
          </w:tcPr>
          <w:p w14:paraId="60B823A0">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Parallel measurements with multiple measurement gaps</w:t>
            </w:r>
          </w:p>
        </w:tc>
        <w:tc>
          <w:tcPr>
            <w:tcW w:w="2073" w:type="dxa"/>
            <w:tcBorders>
              <w:top w:val="nil"/>
              <w:left w:val="nil"/>
              <w:bottom w:val="single" w:color="auto" w:sz="8" w:space="0"/>
              <w:right w:val="single" w:color="auto" w:sz="8" w:space="0"/>
            </w:tcBorders>
            <w:shd w:val="clear" w:color="auto" w:fill="auto"/>
            <w:tcMar>
              <w:left w:w="108" w:type="dxa"/>
              <w:right w:w="108" w:type="dxa"/>
            </w:tcMar>
            <w:vAlign w:val="top"/>
          </w:tcPr>
          <w:p w14:paraId="61D0B9BD">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Support of 2 measurement gaps</w:t>
            </w:r>
          </w:p>
        </w:tc>
        <w:tc>
          <w:tcPr>
            <w:tcW w:w="889" w:type="dxa"/>
            <w:tcBorders>
              <w:top w:val="nil"/>
              <w:left w:val="nil"/>
              <w:bottom w:val="single" w:color="auto" w:sz="8" w:space="0"/>
              <w:right w:val="single" w:color="auto" w:sz="8" w:space="0"/>
            </w:tcBorders>
            <w:shd w:val="clear" w:color="auto" w:fill="auto"/>
            <w:tcMar>
              <w:left w:w="108" w:type="dxa"/>
              <w:right w:w="108" w:type="dxa"/>
            </w:tcMar>
            <w:vAlign w:val="top"/>
          </w:tcPr>
          <w:p w14:paraId="5C3AF63B">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 </w:t>
            </w:r>
          </w:p>
        </w:tc>
        <w:tc>
          <w:tcPr>
            <w:tcW w:w="2132" w:type="dxa"/>
            <w:tcBorders>
              <w:top w:val="nil"/>
              <w:left w:val="nil"/>
              <w:bottom w:val="single" w:color="auto" w:sz="8" w:space="0"/>
              <w:right w:val="single" w:color="auto" w:sz="8" w:space="0"/>
            </w:tcBorders>
            <w:shd w:val="clear" w:color="auto" w:fill="auto"/>
            <w:tcMar>
              <w:left w:w="108" w:type="dxa"/>
              <w:right w:w="108" w:type="dxa"/>
            </w:tcMar>
            <w:vAlign w:val="top"/>
          </w:tcPr>
          <w:p w14:paraId="5B559BEE">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parallelMeasurementGap-r17</w:t>
            </w:r>
          </w:p>
        </w:tc>
        <w:tc>
          <w:tcPr>
            <w:tcW w:w="1682" w:type="dxa"/>
            <w:tcBorders>
              <w:top w:val="nil"/>
              <w:left w:val="nil"/>
              <w:bottom w:val="single" w:color="auto" w:sz="8" w:space="0"/>
              <w:right w:val="single" w:color="auto" w:sz="8" w:space="0"/>
            </w:tcBorders>
            <w:shd w:val="clear" w:color="auto" w:fill="auto"/>
            <w:tcMar>
              <w:left w:w="108" w:type="dxa"/>
              <w:right w:w="108" w:type="dxa"/>
            </w:tcMar>
            <w:vAlign w:val="top"/>
          </w:tcPr>
          <w:p w14:paraId="251E385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MeasAndMobParametersCommon</w:t>
            </w:r>
          </w:p>
        </w:tc>
        <w:tc>
          <w:tcPr>
            <w:tcW w:w="1164" w:type="dxa"/>
            <w:tcBorders>
              <w:top w:val="nil"/>
              <w:left w:val="nil"/>
              <w:bottom w:val="single" w:color="auto" w:sz="8" w:space="0"/>
              <w:right w:val="single" w:color="auto" w:sz="8" w:space="0"/>
            </w:tcBorders>
            <w:shd w:val="clear" w:color="auto" w:fill="auto"/>
            <w:tcMar>
              <w:left w:w="108" w:type="dxa"/>
              <w:right w:w="108" w:type="dxa"/>
            </w:tcMar>
            <w:vAlign w:val="top"/>
          </w:tcPr>
          <w:p w14:paraId="5F1BC24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FDD only</w:t>
            </w:r>
          </w:p>
        </w:tc>
        <w:tc>
          <w:tcPr>
            <w:tcW w:w="1082" w:type="dxa"/>
            <w:tcBorders>
              <w:top w:val="nil"/>
              <w:left w:val="nil"/>
              <w:bottom w:val="single" w:color="auto" w:sz="8" w:space="0"/>
              <w:right w:val="single" w:color="auto" w:sz="8" w:space="0"/>
            </w:tcBorders>
            <w:shd w:val="clear" w:color="auto" w:fill="auto"/>
            <w:tcMar>
              <w:left w:w="108" w:type="dxa"/>
              <w:right w:w="108" w:type="dxa"/>
            </w:tcMar>
            <w:vAlign w:val="top"/>
          </w:tcPr>
          <w:p w14:paraId="57624475">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FR1 only</w:t>
            </w:r>
          </w:p>
        </w:tc>
        <w:tc>
          <w:tcPr>
            <w:tcW w:w="2214" w:type="dxa"/>
            <w:tcBorders>
              <w:top w:val="nil"/>
              <w:left w:val="nil"/>
              <w:bottom w:val="single" w:color="auto" w:sz="8" w:space="0"/>
              <w:right w:val="single" w:color="auto" w:sz="8" w:space="0"/>
            </w:tcBorders>
            <w:shd w:val="clear" w:color="auto" w:fill="auto"/>
            <w:tcMar>
              <w:left w:w="108" w:type="dxa"/>
              <w:right w:w="108" w:type="dxa"/>
            </w:tcMar>
            <w:vAlign w:val="top"/>
          </w:tcPr>
          <w:p w14:paraId="0D4B393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 </w:t>
            </w:r>
          </w:p>
          <w:p w14:paraId="1FD17378">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UE is mandatory to support 1 measurement gaps</w:t>
            </w:r>
          </w:p>
        </w:tc>
        <w:tc>
          <w:tcPr>
            <w:tcW w:w="2763" w:type="dxa"/>
            <w:tcBorders>
              <w:top w:val="nil"/>
              <w:left w:val="nil"/>
              <w:bottom w:val="single" w:color="auto" w:sz="8" w:space="0"/>
              <w:right w:val="single" w:color="auto" w:sz="8" w:space="0"/>
            </w:tcBorders>
            <w:shd w:val="clear" w:color="auto" w:fill="auto"/>
            <w:tcMar>
              <w:left w:w="108" w:type="dxa"/>
              <w:right w:w="108" w:type="dxa"/>
            </w:tcMar>
            <w:vAlign w:val="top"/>
          </w:tcPr>
          <w:p w14:paraId="5152B48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Optional with capability signaling</w:t>
            </w:r>
          </w:p>
        </w:tc>
      </w:tr>
      <w:tr w14:paraId="70A359D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667"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14:paraId="40894B9F">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25. NR_NTN_solutions</w:t>
            </w:r>
          </w:p>
        </w:tc>
        <w:tc>
          <w:tcPr>
            <w:tcW w:w="988" w:type="dxa"/>
            <w:tcBorders>
              <w:top w:val="nil"/>
              <w:left w:val="nil"/>
              <w:bottom w:val="single" w:color="auto" w:sz="8" w:space="0"/>
              <w:right w:val="single" w:color="auto" w:sz="8" w:space="0"/>
            </w:tcBorders>
            <w:shd w:val="clear" w:color="auto" w:fill="auto"/>
            <w:tcMar>
              <w:left w:w="108" w:type="dxa"/>
              <w:right w:w="108" w:type="dxa"/>
            </w:tcMar>
            <w:vAlign w:val="top"/>
          </w:tcPr>
          <w:p w14:paraId="1A51780F">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highlight w:val="yellow"/>
              </w:rPr>
            </w:pPr>
            <w:r>
              <w:rPr>
                <w:rFonts w:hint="default" w:ascii="Times New Roman" w:hAnsi="Times New Roman" w:cs="Times New Roman"/>
                <w:color w:val="0070C0"/>
                <w:sz w:val="18"/>
                <w:szCs w:val="18"/>
                <w:highlight w:val="yellow"/>
                <w:lang w:val="en-US"/>
              </w:rPr>
              <w:t>25-5</w:t>
            </w:r>
          </w:p>
        </w:tc>
        <w:tc>
          <w:tcPr>
            <w:tcW w:w="2000" w:type="dxa"/>
            <w:tcBorders>
              <w:top w:val="nil"/>
              <w:left w:val="nil"/>
              <w:bottom w:val="single" w:color="auto" w:sz="8" w:space="0"/>
              <w:right w:val="single" w:color="auto" w:sz="8" w:space="0"/>
            </w:tcBorders>
            <w:shd w:val="clear" w:color="auto" w:fill="auto"/>
            <w:tcMar>
              <w:left w:w="108" w:type="dxa"/>
              <w:right w:w="108" w:type="dxa"/>
            </w:tcMar>
            <w:vAlign w:val="top"/>
          </w:tcPr>
          <w:p w14:paraId="0D421E07">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highlight w:val="yellow"/>
              </w:rPr>
            </w:pPr>
            <w:r>
              <w:rPr>
                <w:rFonts w:hint="default" w:ascii="Times New Roman" w:hAnsi="Times New Roman" w:cs="Times New Roman"/>
                <w:color w:val="0070C0"/>
                <w:sz w:val="18"/>
                <w:szCs w:val="18"/>
                <w:highlight w:val="yellow"/>
                <w:shd w:val="clear" w:fill="FFFF00"/>
                <w:lang w:val="en-US"/>
              </w:rPr>
              <w:t>Parallel measurements on multiple NGSO satellites within a SMTC</w:t>
            </w:r>
          </w:p>
        </w:tc>
        <w:tc>
          <w:tcPr>
            <w:tcW w:w="2073" w:type="dxa"/>
            <w:tcBorders>
              <w:top w:val="nil"/>
              <w:left w:val="nil"/>
              <w:bottom w:val="single" w:color="auto" w:sz="8" w:space="0"/>
              <w:right w:val="single" w:color="auto" w:sz="8" w:space="0"/>
            </w:tcBorders>
            <w:shd w:val="clear" w:color="auto" w:fill="auto"/>
            <w:tcMar>
              <w:left w:w="108" w:type="dxa"/>
              <w:right w:w="108" w:type="dxa"/>
            </w:tcMar>
            <w:vAlign w:val="top"/>
          </w:tcPr>
          <w:p w14:paraId="0EDA752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Support of simultaneously measurements on target cells belonging to different NGSO satellites within a SMTC</w:t>
            </w:r>
          </w:p>
        </w:tc>
        <w:tc>
          <w:tcPr>
            <w:tcW w:w="889" w:type="dxa"/>
            <w:tcBorders>
              <w:top w:val="nil"/>
              <w:left w:val="nil"/>
              <w:bottom w:val="single" w:color="auto" w:sz="8" w:space="0"/>
              <w:right w:val="single" w:color="auto" w:sz="8" w:space="0"/>
            </w:tcBorders>
            <w:shd w:val="clear" w:color="auto" w:fill="auto"/>
            <w:tcMar>
              <w:left w:w="108" w:type="dxa"/>
              <w:right w:w="108" w:type="dxa"/>
            </w:tcMar>
            <w:vAlign w:val="top"/>
          </w:tcPr>
          <w:p w14:paraId="4D0EF333">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 </w:t>
            </w:r>
          </w:p>
        </w:tc>
        <w:tc>
          <w:tcPr>
            <w:tcW w:w="2132" w:type="dxa"/>
            <w:tcBorders>
              <w:top w:val="nil"/>
              <w:left w:val="nil"/>
              <w:bottom w:val="single" w:color="auto" w:sz="8" w:space="0"/>
              <w:right w:val="single" w:color="auto" w:sz="8" w:space="0"/>
            </w:tcBorders>
            <w:shd w:val="clear" w:color="auto" w:fill="auto"/>
            <w:tcMar>
              <w:left w:w="108" w:type="dxa"/>
              <w:right w:w="108" w:type="dxa"/>
            </w:tcMar>
            <w:vAlign w:val="top"/>
          </w:tcPr>
          <w:p w14:paraId="42DAD0A8">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maxNumber-NGSO-SatellitesWithinOneSMTC-r17</w:t>
            </w:r>
          </w:p>
        </w:tc>
        <w:tc>
          <w:tcPr>
            <w:tcW w:w="1682" w:type="dxa"/>
            <w:tcBorders>
              <w:top w:val="nil"/>
              <w:left w:val="nil"/>
              <w:bottom w:val="single" w:color="auto" w:sz="8" w:space="0"/>
              <w:right w:val="single" w:color="auto" w:sz="8" w:space="0"/>
            </w:tcBorders>
            <w:shd w:val="clear" w:color="auto" w:fill="auto"/>
            <w:tcMar>
              <w:left w:w="108" w:type="dxa"/>
              <w:right w:w="108" w:type="dxa"/>
            </w:tcMar>
            <w:vAlign w:val="top"/>
          </w:tcPr>
          <w:p w14:paraId="1C38E031">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i/>
                <w:iCs/>
                <w:color w:val="0070C0"/>
                <w:sz w:val="18"/>
                <w:szCs w:val="18"/>
                <w:lang w:val="en-US"/>
              </w:rPr>
              <w:t>BandNR</w:t>
            </w:r>
          </w:p>
        </w:tc>
        <w:tc>
          <w:tcPr>
            <w:tcW w:w="1164" w:type="dxa"/>
            <w:tcBorders>
              <w:top w:val="nil"/>
              <w:left w:val="nil"/>
              <w:bottom w:val="single" w:color="auto" w:sz="8" w:space="0"/>
              <w:right w:val="single" w:color="auto" w:sz="8" w:space="0"/>
            </w:tcBorders>
            <w:shd w:val="clear" w:color="auto" w:fill="auto"/>
            <w:tcMar>
              <w:left w:w="108" w:type="dxa"/>
              <w:right w:w="108" w:type="dxa"/>
            </w:tcMar>
            <w:vAlign w:val="top"/>
          </w:tcPr>
          <w:p w14:paraId="0B2C93B1">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FDD only</w:t>
            </w:r>
          </w:p>
        </w:tc>
        <w:tc>
          <w:tcPr>
            <w:tcW w:w="1082" w:type="dxa"/>
            <w:tcBorders>
              <w:top w:val="nil"/>
              <w:left w:val="nil"/>
              <w:bottom w:val="single" w:color="auto" w:sz="8" w:space="0"/>
              <w:right w:val="single" w:color="auto" w:sz="8" w:space="0"/>
            </w:tcBorders>
            <w:shd w:val="clear" w:color="auto" w:fill="auto"/>
            <w:tcMar>
              <w:left w:w="108" w:type="dxa"/>
              <w:right w:w="108" w:type="dxa"/>
            </w:tcMar>
            <w:vAlign w:val="top"/>
          </w:tcPr>
          <w:p w14:paraId="2109BB7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FR1 only</w:t>
            </w:r>
          </w:p>
        </w:tc>
        <w:tc>
          <w:tcPr>
            <w:tcW w:w="2214" w:type="dxa"/>
            <w:tcBorders>
              <w:top w:val="nil"/>
              <w:left w:val="nil"/>
              <w:bottom w:val="single" w:color="auto" w:sz="8" w:space="0"/>
              <w:right w:val="single" w:color="auto" w:sz="8" w:space="0"/>
            </w:tcBorders>
            <w:shd w:val="clear" w:color="auto" w:fill="auto"/>
            <w:tcMar>
              <w:left w:w="108" w:type="dxa"/>
              <w:right w:w="108" w:type="dxa"/>
            </w:tcMar>
            <w:vAlign w:val="top"/>
          </w:tcPr>
          <w:p w14:paraId="67230432">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Candidate values for the number of NGSO satellites are 1,2,3, or 4</w:t>
            </w:r>
          </w:p>
        </w:tc>
        <w:tc>
          <w:tcPr>
            <w:tcW w:w="2763" w:type="dxa"/>
            <w:tcBorders>
              <w:top w:val="nil"/>
              <w:left w:val="nil"/>
              <w:bottom w:val="single" w:color="auto" w:sz="8" w:space="0"/>
              <w:right w:val="single" w:color="auto" w:sz="8" w:space="0"/>
            </w:tcBorders>
            <w:shd w:val="clear" w:color="auto" w:fill="auto"/>
            <w:tcMar>
              <w:left w:w="108" w:type="dxa"/>
              <w:right w:w="108" w:type="dxa"/>
            </w:tcMar>
            <w:vAlign w:val="top"/>
          </w:tcPr>
          <w:p w14:paraId="1ECEA32A">
            <w:pPr>
              <w:pStyle w:val="17"/>
              <w:keepNext w:val="0"/>
              <w:keepLines w:val="0"/>
              <w:widowControl/>
              <w:suppressLineNumbers w:val="0"/>
              <w:spacing w:before="0" w:beforeAutospacing="0" w:after="0" w:afterAutospacing="0"/>
              <w:ind w:left="0" w:right="0"/>
              <w:rPr>
                <w:rFonts w:hint="default" w:ascii="Times New Roman" w:hAnsi="Times New Roman" w:cs="Times New Roman"/>
                <w:color w:val="0070C0"/>
                <w:sz w:val="18"/>
                <w:szCs w:val="18"/>
              </w:rPr>
            </w:pPr>
            <w:r>
              <w:rPr>
                <w:rFonts w:hint="default" w:ascii="Times New Roman" w:hAnsi="Times New Roman" w:cs="Times New Roman"/>
                <w:color w:val="0070C0"/>
                <w:sz w:val="18"/>
                <w:szCs w:val="18"/>
                <w:lang w:val="en-US"/>
              </w:rPr>
              <w:t> </w:t>
            </w:r>
          </w:p>
        </w:tc>
      </w:tr>
    </w:tbl>
    <w:p w14:paraId="379B591F">
      <w:pPr>
        <w:keepNext w:val="0"/>
        <w:keepLines w:val="0"/>
        <w:pageBreakBefore w:val="0"/>
        <w:widowControl/>
        <w:suppressLineNumbers w:val="0"/>
        <w:kinsoku/>
        <w:wordWrap/>
        <w:overflowPunct/>
        <w:topLinePunct w:val="0"/>
        <w:autoSpaceDE/>
        <w:autoSpaceDN/>
        <w:bidi w:val="0"/>
        <w:adjustRightInd/>
        <w:snapToGrid/>
        <w:spacing w:before="137" w:beforeLines="50" w:beforeAutospacing="0" w:after="180" w:afterAutospacing="0"/>
        <w:ind w:left="0" w:right="0"/>
        <w:jc w:val="left"/>
        <w:textAlignment w:val="auto"/>
        <w:rPr>
          <w:rFonts w:hint="default" w:ascii="等线" w:hAnsi="等线" w:eastAsia="等线" w:cs="等线"/>
          <w:i w:val="0"/>
          <w:iCs w:val="0"/>
          <w:caps w:val="0"/>
          <w:color w:val="000000"/>
          <w:spacing w:val="0"/>
          <w:kern w:val="0"/>
          <w:sz w:val="21"/>
          <w:szCs w:val="21"/>
          <w:shd w:val="clear" w:fill="FFFFFF"/>
          <w:lang w:val="en-US" w:eastAsia="zh-CN" w:bidi="ar"/>
        </w:rPr>
      </w:pPr>
      <w:r>
        <w:rPr>
          <w:rFonts w:ascii="等线" w:hAnsi="等线" w:eastAsia="等线" w:cs="等线"/>
          <w:i w:val="0"/>
          <w:iCs w:val="0"/>
          <w:caps w:val="0"/>
          <w:color w:val="000000"/>
          <w:spacing w:val="0"/>
          <w:kern w:val="0"/>
          <w:sz w:val="21"/>
          <w:szCs w:val="21"/>
          <w:shd w:val="clear" w:fill="FFFFFF"/>
          <w:lang w:val="en-US" w:eastAsia="zh-CN" w:bidi="ar"/>
        </w:rPr>
        <w:t> </w:t>
      </w:r>
      <w:r>
        <w:rPr>
          <w:rFonts w:hint="eastAsia" w:cs="Times New Roman"/>
          <w:i/>
          <w:iCs/>
          <w:color w:val="0070C0"/>
          <w:sz w:val="20"/>
          <w:u w:val="none"/>
          <w:lang w:val="en-US" w:eastAsia="zh-CN"/>
        </w:rPr>
        <w:t>Online agreement</w:t>
      </w:r>
    </w:p>
    <w:p w14:paraId="40C1BB7B">
      <w:pPr>
        <w:rPr>
          <w:b/>
          <w:highlight w:val="green"/>
          <w:lang w:eastAsia="zh-CN"/>
        </w:rPr>
      </w:pPr>
      <w:r>
        <w:rPr>
          <w:b/>
          <w:highlight w:val="green"/>
        </w:rPr>
        <w:t>&lt;</w:t>
      </w:r>
      <w:r>
        <w:rPr>
          <w:b/>
          <w:szCs w:val="24"/>
          <w:highlight w:val="green"/>
          <w:lang w:eastAsia="zh-CN"/>
        </w:rPr>
        <w:t>Agreement</w:t>
      </w:r>
      <w:r>
        <w:rPr>
          <w:rFonts w:hint="eastAsia"/>
          <w:b/>
          <w:szCs w:val="24"/>
          <w:highlight w:val="green"/>
          <w:lang w:val="en-US" w:eastAsia="zh-CN"/>
        </w:rPr>
        <w:t>s</w:t>
      </w:r>
      <w:r>
        <w:rPr>
          <w:b/>
          <w:highlight w:val="green"/>
        </w:rPr>
        <w:t>&gt;</w:t>
      </w:r>
      <w:r>
        <w:rPr>
          <w:rFonts w:hint="eastAsia"/>
          <w:b/>
          <w:highlight w:val="green"/>
          <w:lang w:eastAsia="zh-CN"/>
        </w:rPr>
        <w:t>:</w:t>
      </w:r>
    </w:p>
    <w:p w14:paraId="4B66746D">
      <w:pPr>
        <w:pStyle w:val="29"/>
        <w:numPr>
          <w:ilvl w:val="0"/>
          <w:numId w:val="6"/>
        </w:numPr>
        <w:spacing w:after="120"/>
        <w:ind w:left="720"/>
        <w:contextualSpacing w:val="0"/>
        <w:rPr>
          <w:rFonts w:hint="eastAsia"/>
          <w:lang w:eastAsia="ko-KR"/>
        </w:rPr>
      </w:pPr>
      <w:r>
        <w:rPr>
          <w:rFonts w:hint="eastAsia" w:cs="Times New Roman"/>
          <w:sz w:val="20"/>
          <w:lang w:val="en-US" w:eastAsia="zh-CN"/>
        </w:rPr>
        <w:t>RAN4 to d</w:t>
      </w:r>
      <w:r>
        <w:rPr>
          <w:rFonts w:hint="eastAsia" w:ascii="Times New Roman" w:hAnsi="Times New Roman" w:cs="Times New Roman"/>
          <w:sz w:val="20"/>
          <w:lang w:eastAsia="ko-KR"/>
        </w:rPr>
        <w:t>efine RRM requirements for multiple SMTC-s for a single frequency carrier for (e)RedCap UEs</w:t>
      </w:r>
      <w:r>
        <w:rPr>
          <w:rFonts w:hint="eastAsia" w:cs="Times New Roman"/>
          <w:sz w:val="20"/>
          <w:lang w:val="en-US" w:eastAsia="zh-CN"/>
        </w:rPr>
        <w:t>.</w:t>
      </w:r>
    </w:p>
    <w:p w14:paraId="05FF72BF">
      <w:pPr>
        <w:pStyle w:val="29"/>
        <w:numPr>
          <w:ilvl w:val="0"/>
          <w:numId w:val="6"/>
        </w:numPr>
        <w:spacing w:after="120"/>
        <w:ind w:left="720"/>
        <w:contextualSpacing w:val="0"/>
        <w:rPr>
          <w:rFonts w:hint="eastAsia" w:ascii="Times New Roman" w:hAnsi="Times New Roman" w:cs="Times New Roman"/>
          <w:sz w:val="20"/>
          <w:lang w:eastAsia="ko-KR"/>
        </w:rPr>
      </w:pPr>
      <w:r>
        <w:rPr>
          <w:rFonts w:hint="eastAsia" w:ascii="Times New Roman" w:hAnsi="Times New Roman" w:cs="Times New Roman"/>
          <w:sz w:val="20"/>
          <w:lang w:eastAsia="ko-KR"/>
        </w:rPr>
        <w:t>For whether to support parallel measurements on multiple NGSO satellites withi</w:t>
      </w:r>
      <w:r>
        <w:rPr>
          <w:rFonts w:hint="eastAsia" w:ascii="Times New Roman" w:hAnsi="Times New Roman" w:cs="Times New Roman"/>
          <w:sz w:val="20"/>
          <w:highlight w:val="none"/>
          <w:lang w:eastAsia="ko-KR"/>
        </w:rPr>
        <w:t>n a SMTC (Feature 25-5) fo</w:t>
      </w:r>
      <w:r>
        <w:rPr>
          <w:rFonts w:hint="eastAsia" w:ascii="Times New Roman" w:hAnsi="Times New Roman" w:cs="Times New Roman"/>
          <w:sz w:val="20"/>
          <w:lang w:eastAsia="ko-KR"/>
        </w:rPr>
        <w:t>r (e)RedCap UEs?</w:t>
      </w:r>
    </w:p>
    <w:p w14:paraId="71610E2B">
      <w:pPr>
        <w:pStyle w:val="29"/>
        <w:keepNext w:val="0"/>
        <w:keepLines w:val="0"/>
        <w:pageBreakBefore w:val="0"/>
        <w:widowControl/>
        <w:numPr>
          <w:ilvl w:val="1"/>
          <w:numId w:val="6"/>
        </w:numPr>
        <w:kinsoku/>
        <w:wordWrap/>
        <w:overflowPunct/>
        <w:topLinePunct w:val="0"/>
        <w:autoSpaceDE/>
        <w:autoSpaceDN/>
        <w:bidi w:val="0"/>
        <w:adjustRightInd/>
        <w:snapToGrid/>
        <w:spacing w:after="0"/>
        <w:ind w:left="1655" w:hanging="357"/>
        <w:contextualSpacing w:val="0"/>
        <w:textAlignment w:val="auto"/>
        <w:rPr>
          <w:rFonts w:hint="eastAsia"/>
          <w:lang w:eastAsia="ko-KR"/>
        </w:rPr>
      </w:pPr>
      <w:r>
        <w:rPr>
          <w:rFonts w:hint="eastAsia" w:ascii="Times New Roman" w:hAnsi="Times New Roman" w:cs="Times New Roman"/>
          <w:sz w:val="20"/>
          <w:lang w:eastAsia="ko-KR"/>
        </w:rPr>
        <w:t xml:space="preserve">Option </w:t>
      </w:r>
      <w:r>
        <w:rPr>
          <w:rFonts w:hint="eastAsia" w:cs="Times New Roman"/>
          <w:sz w:val="20"/>
          <w:lang w:val="en-US" w:eastAsia="zh-CN"/>
        </w:rPr>
        <w:t>1 (MTK, Xiaomi, Samsung, ZTE, Ericsson, LG, QC)</w:t>
      </w:r>
      <w:r>
        <w:rPr>
          <w:rFonts w:hint="eastAsia" w:ascii="Times New Roman" w:hAnsi="Times New Roman" w:cs="Times New Roman"/>
          <w:sz w:val="20"/>
          <w:lang w:eastAsia="ko-KR"/>
        </w:rPr>
        <w:t xml:space="preserve">: Not support </w:t>
      </w:r>
    </w:p>
    <w:p w14:paraId="3ED3864A">
      <w:pPr>
        <w:pStyle w:val="29"/>
        <w:keepNext w:val="0"/>
        <w:keepLines w:val="0"/>
        <w:pageBreakBefore w:val="0"/>
        <w:widowControl/>
        <w:numPr>
          <w:ilvl w:val="1"/>
          <w:numId w:val="6"/>
        </w:numPr>
        <w:kinsoku/>
        <w:wordWrap/>
        <w:overflowPunct/>
        <w:topLinePunct w:val="0"/>
        <w:autoSpaceDE/>
        <w:autoSpaceDN/>
        <w:bidi w:val="0"/>
        <w:adjustRightInd/>
        <w:snapToGrid/>
        <w:ind w:left="1655" w:hanging="357"/>
        <w:contextualSpacing w:val="0"/>
        <w:textAlignment w:val="auto"/>
        <w:rPr>
          <w:rFonts w:hint="eastAsia"/>
          <w:lang w:eastAsia="ko-KR"/>
        </w:rPr>
      </w:pPr>
      <w:r>
        <w:rPr>
          <w:rFonts w:hint="eastAsia" w:ascii="Times New Roman" w:hAnsi="Times New Roman" w:cs="Times New Roman"/>
          <w:sz w:val="20"/>
          <w:lang w:eastAsia="ko-KR"/>
        </w:rPr>
        <w:t xml:space="preserve">Option </w:t>
      </w:r>
      <w:r>
        <w:rPr>
          <w:rFonts w:hint="eastAsia" w:cs="Times New Roman"/>
          <w:sz w:val="20"/>
          <w:lang w:val="en-US" w:eastAsia="zh-CN"/>
        </w:rPr>
        <w:t>2 (HW, Nokia)</w:t>
      </w:r>
      <w:r>
        <w:rPr>
          <w:rFonts w:hint="eastAsia" w:ascii="Times New Roman" w:hAnsi="Times New Roman" w:cs="Times New Roman"/>
          <w:sz w:val="20"/>
          <w:lang w:eastAsia="ko-KR"/>
        </w:rPr>
        <w:t xml:space="preserve">: </w:t>
      </w:r>
      <w:r>
        <w:rPr>
          <w:rFonts w:hint="eastAsia" w:cs="Times New Roman"/>
          <w:sz w:val="20"/>
          <w:lang w:val="en-US" w:eastAsia="zh-CN"/>
        </w:rPr>
        <w:t>FFS</w:t>
      </w:r>
    </w:p>
    <w:p w14:paraId="11ABE1E9">
      <w:pPr>
        <w:pStyle w:val="29"/>
        <w:numPr>
          <w:ilvl w:val="0"/>
          <w:numId w:val="6"/>
        </w:numPr>
        <w:spacing w:after="120"/>
        <w:ind w:left="720"/>
        <w:contextualSpacing w:val="0"/>
        <w:rPr>
          <w:rFonts w:hint="eastAsia"/>
          <w:lang w:eastAsia="ko-KR"/>
        </w:rPr>
      </w:pPr>
      <w:r>
        <w:rPr>
          <w:rFonts w:hint="eastAsia"/>
          <w:lang w:val="en-US" w:eastAsia="zh-CN"/>
        </w:rPr>
        <w:t xml:space="preserve">Further discuss </w:t>
      </w:r>
      <w:r>
        <w:rPr>
          <w:rFonts w:hint="eastAsia"/>
          <w:lang w:eastAsia="ko-KR"/>
        </w:rPr>
        <w:t>the supported number of SMTCs</w:t>
      </w:r>
      <w:r>
        <w:rPr>
          <w:rFonts w:hint="eastAsia"/>
          <w:lang w:val="en-US" w:eastAsia="zh-CN"/>
        </w:rPr>
        <w:t>, t</w:t>
      </w:r>
      <w:r>
        <w:rPr>
          <w:rFonts w:hint="eastAsia"/>
          <w:lang w:eastAsia="ko-KR"/>
        </w:rPr>
        <w:t>he number of cells and SSB</w:t>
      </w:r>
      <w:r>
        <w:rPr>
          <w:rFonts w:hint="eastAsia"/>
          <w:lang w:val="en-US" w:eastAsia="zh-CN"/>
        </w:rPr>
        <w:t>, t</w:t>
      </w:r>
      <w:r>
        <w:rPr>
          <w:rFonts w:hint="eastAsia"/>
          <w:lang w:eastAsia="ko-KR"/>
        </w:rPr>
        <w:t>he number of supported satellites</w:t>
      </w:r>
      <w:r>
        <w:rPr>
          <w:rFonts w:hint="eastAsia"/>
          <w:lang w:val="en-US" w:eastAsia="zh-CN"/>
        </w:rPr>
        <w:t>, the proximity distance between two SMTCs.</w:t>
      </w:r>
    </w:p>
    <w:p w14:paraId="5DE9EB1F">
      <w:pPr>
        <w:pStyle w:val="29"/>
        <w:numPr>
          <w:ilvl w:val="0"/>
          <w:numId w:val="6"/>
        </w:numPr>
        <w:spacing w:after="120"/>
        <w:ind w:left="720"/>
        <w:contextualSpacing w:val="0"/>
        <w:rPr>
          <w:rFonts w:hint="eastAsia"/>
          <w:lang w:eastAsia="ko-KR"/>
        </w:rPr>
      </w:pPr>
      <w:r>
        <w:rPr>
          <w:rFonts w:hint="eastAsia"/>
          <w:lang w:val="en-US" w:eastAsia="zh-CN"/>
        </w:rPr>
        <w:t xml:space="preserve">Further discuss the specific measurement requirements, i.e, whether and how to extend measurement period. </w:t>
      </w:r>
    </w:p>
    <w:p w14:paraId="50C0DA61">
      <w:pPr>
        <w:pStyle w:val="29"/>
        <w:numPr>
          <w:ilvl w:val="0"/>
          <w:numId w:val="6"/>
        </w:numPr>
        <w:spacing w:after="120"/>
        <w:ind w:left="720"/>
        <w:contextualSpacing w:val="0"/>
        <w:rPr>
          <w:rFonts w:ascii="Times New Roman" w:hAnsi="Times New Roman" w:cs="Times New Roman"/>
          <w:sz w:val="20"/>
          <w:szCs w:val="20"/>
        </w:rPr>
      </w:pPr>
      <w:r>
        <w:rPr>
          <w:rFonts w:hint="eastAsia"/>
          <w:lang w:val="en-US" w:eastAsia="zh-CN"/>
        </w:rPr>
        <w:t xml:space="preserve">Further discuss other R17 NTN UE capabilities (i.e, </w:t>
      </w:r>
      <w:r>
        <w:rPr>
          <w:rFonts w:hint="eastAsia" w:ascii="Times New Roman" w:hAnsi="Times New Roman" w:cs="Times New Roman"/>
          <w:sz w:val="20"/>
          <w:highlight w:val="none"/>
          <w:lang w:eastAsia="ko-KR"/>
        </w:rPr>
        <w:t>Feature</w:t>
      </w:r>
      <w:r>
        <w:rPr>
          <w:rFonts w:hint="eastAsia" w:cs="Times New Roman"/>
          <w:sz w:val="20"/>
          <w:highlight w:val="none"/>
          <w:lang w:val="en-US" w:eastAsia="zh-CN"/>
        </w:rPr>
        <w:t xml:space="preserve"> </w:t>
      </w:r>
      <w:r>
        <w:rPr>
          <w:rFonts w:hint="eastAsia"/>
          <w:lang w:val="en-US" w:eastAsia="zh-CN"/>
        </w:rPr>
        <w:t>25-2/25-3) related to 'in parallel'.</w:t>
      </w:r>
    </w:p>
    <w:p w14:paraId="7194EAB5">
      <w:pPr>
        <w:pStyle w:val="29"/>
        <w:numPr>
          <w:numId w:val="0"/>
        </w:numPr>
        <w:spacing w:after="120"/>
        <w:contextualSpacing w:val="0"/>
        <w:rPr>
          <w:rFonts w:ascii="Times New Roman" w:hAnsi="Times New Roman" w:cs="Times New Roman"/>
          <w:sz w:val="20"/>
          <w:szCs w:val="20"/>
        </w:rPr>
      </w:pPr>
    </w:p>
    <w:p w14:paraId="3AF02C18">
      <w:pPr>
        <w:pStyle w:val="5"/>
        <w:spacing w:before="120" w:after="120" w:line="240" w:lineRule="auto"/>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Issue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szCs w:val="20"/>
          <w:u w:val="single"/>
          <w:lang w:eastAsia="ko-KR"/>
        </w:rPr>
        <w:t>-</w:t>
      </w:r>
      <w:r>
        <w:rPr>
          <w:rFonts w:hint="eastAsia" w:ascii="Times New Roman" w:hAnsi="Times New Roman" w:cs="Times New Roman"/>
          <w:sz w:val="20"/>
          <w:szCs w:val="20"/>
          <w:u w:val="single"/>
        </w:rPr>
        <w:t>5</w:t>
      </w:r>
      <w:r>
        <w:rPr>
          <w:rFonts w:ascii="Times New Roman" w:hAnsi="Times New Roman" w:cs="Times New Roman"/>
          <w:sz w:val="20"/>
          <w:szCs w:val="20"/>
          <w:u w:val="single"/>
          <w:lang w:eastAsia="ko-KR"/>
        </w:rPr>
        <w:t>: The number of searchers and CSSF</w:t>
      </w:r>
    </w:p>
    <w:p w14:paraId="7DF11C17">
      <w:pPr>
        <w:rPr>
          <w:b/>
          <w:lang w:eastAsia="zh-CN"/>
        </w:rPr>
      </w:pPr>
      <w:r>
        <w:rPr>
          <w:b/>
        </w:rPr>
        <w:t>&lt;Way Forward&gt;</w:t>
      </w:r>
      <w:r>
        <w:rPr>
          <w:rFonts w:hint="eastAsia"/>
          <w:b/>
          <w:lang w:eastAsia="zh-CN"/>
        </w:rPr>
        <w:t>:</w:t>
      </w:r>
    </w:p>
    <w:p w14:paraId="63FD5B7B">
      <w:pPr>
        <w:pStyle w:val="29"/>
        <w:numPr>
          <w:ilvl w:val="0"/>
          <w:numId w:val="6"/>
        </w:numPr>
        <w:spacing w:after="120"/>
        <w:ind w:left="720"/>
        <w:contextualSpacing w:val="0"/>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 xml:space="preserve">Single searcher assumption and </w:t>
      </w:r>
      <w:r>
        <w:rPr>
          <w:rFonts w:hint="eastAsia" w:ascii="Times New Roman" w:hAnsi="Times New Roman" w:cs="Times New Roman" w:eastAsiaTheme="minorEastAsia"/>
          <w:iCs/>
          <w:sz w:val="20"/>
          <w:szCs w:val="20"/>
          <w:highlight w:val="none"/>
        </w:rPr>
        <w:t xml:space="preserve">the </w:t>
      </w:r>
      <w:r>
        <w:rPr>
          <w:rFonts w:ascii="Times New Roman" w:hAnsi="Times New Roman" w:cs="Times New Roman" w:eastAsiaTheme="minorEastAsia"/>
          <w:iCs/>
          <w:sz w:val="20"/>
          <w:szCs w:val="20"/>
          <w:highlight w:val="none"/>
        </w:rPr>
        <w:t>CSSF defined for (e)RedCap UEs in TN will be reused for (e)Red</w:t>
      </w:r>
      <w:r>
        <w:rPr>
          <w:rFonts w:hint="eastAsia" w:ascii="Times New Roman" w:hAnsi="Times New Roman" w:cs="Times New Roman" w:eastAsiaTheme="minorEastAsia"/>
          <w:iCs/>
          <w:sz w:val="20"/>
          <w:szCs w:val="20"/>
          <w:highlight w:val="none"/>
        </w:rPr>
        <w:t>C</w:t>
      </w:r>
      <w:r>
        <w:rPr>
          <w:rFonts w:ascii="Times New Roman" w:hAnsi="Times New Roman" w:cs="Times New Roman" w:eastAsiaTheme="minorEastAsia"/>
          <w:iCs/>
          <w:sz w:val="20"/>
          <w:szCs w:val="20"/>
          <w:highlight w:val="none"/>
        </w:rPr>
        <w:t>ap UE with FR1-NTN.</w:t>
      </w:r>
    </w:p>
    <w:p w14:paraId="49042BC1">
      <w:pPr>
        <w:rPr>
          <w:rFonts w:ascii="Times New Roman" w:hAnsi="Times New Roman" w:cs="Times New Roman"/>
          <w:sz w:val="20"/>
        </w:rPr>
      </w:pPr>
    </w:p>
    <w:p w14:paraId="38EB1A80">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6</w:t>
      </w:r>
      <w:r>
        <w:rPr>
          <w:rFonts w:ascii="Times New Roman" w:hAnsi="Times New Roman" w:cs="Times New Roman"/>
          <w:sz w:val="20"/>
          <w:u w:val="single"/>
          <w:lang w:eastAsia="ko-KR"/>
        </w:rPr>
        <w:t>: FH in PRS measurement</w:t>
      </w:r>
      <w:r>
        <w:rPr>
          <w:rFonts w:hint="eastAsia" w:ascii="Times New Roman" w:hAnsi="Times New Roman" w:cs="Times New Roman"/>
          <w:sz w:val="20"/>
          <w:u w:val="single"/>
        </w:rPr>
        <w:t xml:space="preserve"> for </w:t>
      </w:r>
      <w:r>
        <w:rPr>
          <w:rFonts w:ascii="Times New Roman" w:hAnsi="Times New Roman" w:cs="Times New Roman"/>
          <w:sz w:val="20"/>
          <w:u w:val="single"/>
          <w:lang w:eastAsia="ko-KR"/>
        </w:rPr>
        <w:t>NW verified location</w:t>
      </w:r>
      <w:r>
        <w:rPr>
          <w:rFonts w:hint="eastAsia" w:ascii="Times New Roman" w:hAnsi="Times New Roman" w:cs="Times New Roman"/>
          <w:sz w:val="20"/>
          <w:u w:val="single"/>
        </w:rPr>
        <w:t xml:space="preserve"> </w:t>
      </w:r>
      <w:r>
        <w:rPr>
          <w:rFonts w:ascii="Times New Roman" w:hAnsi="Times New Roman" w:cs="Times New Roman"/>
          <w:sz w:val="20"/>
          <w:u w:val="single"/>
          <w:lang w:eastAsia="ko-KR"/>
        </w:rPr>
        <w:t>requirements</w:t>
      </w:r>
    </w:p>
    <w:p w14:paraId="08C9B20A">
      <w:pPr>
        <w:rPr>
          <w:b/>
          <w:lang w:eastAsia="zh-CN"/>
        </w:rPr>
      </w:pPr>
      <w:r>
        <w:rPr>
          <w:b/>
        </w:rPr>
        <w:t>&lt;Way Forward&gt;</w:t>
      </w:r>
      <w:r>
        <w:rPr>
          <w:rFonts w:hint="eastAsia"/>
          <w:b/>
          <w:lang w:eastAsia="zh-CN"/>
        </w:rPr>
        <w:t>:</w:t>
      </w:r>
    </w:p>
    <w:p w14:paraId="58203A4F">
      <w:pPr>
        <w:pStyle w:val="29"/>
        <w:numPr>
          <w:ilvl w:val="0"/>
          <w:numId w:val="6"/>
        </w:numPr>
        <w:spacing w:after="120"/>
        <w:ind w:left="720"/>
        <w:contextualSpacing w:val="0"/>
        <w:rPr>
          <w:rFonts w:ascii="Times New Roman" w:hAnsi="Times New Roman" w:cs="Times New Roman" w:eastAsiaTheme="minorEastAsia"/>
          <w:iCs/>
          <w:sz w:val="20"/>
          <w:szCs w:val="20"/>
          <w:highlight w:val="none"/>
        </w:rPr>
      </w:pPr>
      <w:r>
        <w:rPr>
          <w:rFonts w:hint="eastAsia" w:ascii="Times New Roman" w:hAnsi="Times New Roman" w:cs="Times New Roman" w:eastAsiaTheme="minorEastAsia"/>
          <w:iCs/>
          <w:sz w:val="20"/>
          <w:szCs w:val="20"/>
          <w:highlight w:val="none"/>
        </w:rPr>
        <w:t>N</w:t>
      </w:r>
      <w:r>
        <w:rPr>
          <w:rFonts w:ascii="Times New Roman" w:hAnsi="Times New Roman" w:cs="Times New Roman" w:eastAsiaTheme="minorEastAsia"/>
          <w:iCs/>
          <w:sz w:val="20"/>
          <w:szCs w:val="20"/>
          <w:highlight w:val="none"/>
        </w:rPr>
        <w:t>ot to consider FH in the PRS measurement requirements for NW verified location for (e)RedCap UE with FR1-NTN.</w:t>
      </w:r>
    </w:p>
    <w:p w14:paraId="63D8BCFC">
      <w:pPr>
        <w:pStyle w:val="29"/>
        <w:ind w:left="1656"/>
        <w:rPr>
          <w:rFonts w:ascii="Times New Roman" w:hAnsi="Times New Roman" w:cs="Times New Roman"/>
          <w:sz w:val="20"/>
        </w:rPr>
      </w:pPr>
    </w:p>
    <w:p w14:paraId="688A0A2F">
      <w:pPr>
        <w:pStyle w:val="5"/>
        <w:spacing w:before="120" w:after="120" w:line="240" w:lineRule="auto"/>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Issue</w:t>
      </w:r>
      <w:r>
        <w:rPr>
          <w:rFonts w:hint="eastAsia" w:ascii="Times New Roman" w:hAnsi="Times New Roman" w:cs="Times New Roman"/>
          <w:sz w:val="20"/>
          <w:szCs w:val="20"/>
          <w:u w:val="single"/>
        </w:rPr>
        <w:t xml:space="preserv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szCs w:val="20"/>
          <w:u w:val="single"/>
          <w:lang w:eastAsia="ko-KR"/>
        </w:rPr>
        <w:t>-</w:t>
      </w:r>
      <w:r>
        <w:rPr>
          <w:rFonts w:hint="eastAsia" w:ascii="Times New Roman" w:hAnsi="Times New Roman" w:cs="Times New Roman"/>
          <w:sz w:val="20"/>
          <w:szCs w:val="20"/>
          <w:u w:val="single"/>
        </w:rPr>
        <w:t>7</w:t>
      </w:r>
      <w:r>
        <w:rPr>
          <w:rFonts w:ascii="Times New Roman" w:hAnsi="Times New Roman" w:cs="Times New Roman"/>
          <w:sz w:val="20"/>
          <w:szCs w:val="20"/>
          <w:u w:val="single"/>
          <w:lang w:eastAsia="ko-KR"/>
        </w:rPr>
        <w:t>: NCD-SSB</w:t>
      </w:r>
    </w:p>
    <w:p w14:paraId="4CDBE467">
      <w:r>
        <w:rPr>
          <w:b/>
        </w:rPr>
        <w:t>&lt;Way Forward&gt;</w:t>
      </w:r>
      <w:r>
        <w:rPr>
          <w:rFonts w:hint="eastAsia"/>
          <w:b/>
          <w:lang w:eastAsia="zh-CN"/>
        </w:rPr>
        <w:t>:</w:t>
      </w:r>
    </w:p>
    <w:p w14:paraId="4D858530">
      <w:pPr>
        <w:pStyle w:val="29"/>
        <w:numPr>
          <w:ilvl w:val="0"/>
          <w:numId w:val="6"/>
        </w:numPr>
        <w:spacing w:after="120"/>
        <w:ind w:left="720"/>
        <w:contextualSpacing w:val="0"/>
        <w:rPr>
          <w:rFonts w:hint="default" w:ascii="Times New Roman" w:hAnsi="Times New Roman" w:cs="Times New Roman" w:eastAsiaTheme="minorEastAsia"/>
          <w:iCs/>
          <w:sz w:val="20"/>
          <w:szCs w:val="20"/>
          <w:lang w:val="en-US" w:eastAsia="zh-CN"/>
        </w:rPr>
      </w:pPr>
      <w:r>
        <w:rPr>
          <w:rFonts w:hint="eastAsia" w:ascii="Times New Roman" w:hAnsi="Times New Roman" w:cs="Times New Roman" w:eastAsiaTheme="minorEastAsia"/>
          <w:iCs/>
          <w:sz w:val="20"/>
          <w:szCs w:val="20"/>
          <w:lang w:val="en-US" w:eastAsia="zh-CN"/>
        </w:rPr>
        <w:t xml:space="preserve">For </w:t>
      </w:r>
      <w:r>
        <w:rPr>
          <w:rFonts w:ascii="Times New Roman" w:hAnsi="Times New Roman" w:cs="Times New Roman" w:eastAsiaTheme="minorEastAsia"/>
          <w:iCs/>
          <w:sz w:val="20"/>
          <w:szCs w:val="20"/>
        </w:rPr>
        <w:t>the terminology of SSB</w:t>
      </w:r>
      <w:r>
        <w:rPr>
          <w:rFonts w:hint="eastAsia" w:cs="Times New Roman" w:eastAsiaTheme="minorEastAsia"/>
          <w:iCs/>
          <w:sz w:val="20"/>
          <w:szCs w:val="20"/>
          <w:lang w:val="en-US" w:eastAsia="zh-CN"/>
        </w:rPr>
        <w:t xml:space="preserve"> used in the spec,</w:t>
      </w:r>
    </w:p>
    <w:p w14:paraId="5F40DCC3">
      <w:pPr>
        <w:pStyle w:val="29"/>
        <w:numPr>
          <w:ilvl w:val="1"/>
          <w:numId w:val="6"/>
        </w:numPr>
        <w:spacing w:after="120"/>
        <w:contextualSpacing w:val="0"/>
        <w:rPr>
          <w:rFonts w:ascii="Times New Roman" w:hAnsi="Times New Roman" w:cs="Times New Roman"/>
          <w:sz w:val="20"/>
        </w:rPr>
      </w:pPr>
      <w:r>
        <w:rPr>
          <w:rFonts w:hint="eastAsia" w:ascii="Times New Roman" w:hAnsi="Times New Roman" w:cs="Times New Roman"/>
          <w:sz w:val="20"/>
        </w:rPr>
        <w:t>Proposal 1 (CATT, Ericsson, HW</w:t>
      </w:r>
      <w:r>
        <w:rPr>
          <w:rFonts w:hint="eastAsia" w:ascii="Times New Roman" w:hAnsi="Times New Roman" w:cs="Times New Roman"/>
          <w:sz w:val="20"/>
          <w:lang w:val="en-US" w:eastAsia="zh-CN"/>
        </w:rPr>
        <w:t>, CMCC</w:t>
      </w:r>
      <w:r>
        <w:rPr>
          <w:rFonts w:hint="eastAsia" w:ascii="Times New Roman" w:hAnsi="Times New Roman" w:cs="Times New Roman"/>
          <w:sz w:val="20"/>
        </w:rPr>
        <w:t xml:space="preserve">): </w:t>
      </w:r>
      <w:r>
        <w:rPr>
          <w:rFonts w:ascii="Times New Roman" w:hAnsi="Times New Roman" w:cs="Times New Roman"/>
          <w:sz w:val="20"/>
        </w:rPr>
        <w:t>Use the terminology of SSB without differentiating CD-SSB/NCD-SSB</w:t>
      </w:r>
      <w:r>
        <w:rPr>
          <w:rFonts w:hint="eastAsia" w:ascii="Times New Roman" w:hAnsi="Times New Roman" w:cs="Times New Roman"/>
          <w:sz w:val="20"/>
        </w:rPr>
        <w:t>.</w:t>
      </w:r>
    </w:p>
    <w:p w14:paraId="4B9C368A">
      <w:pPr>
        <w:pStyle w:val="29"/>
        <w:numPr>
          <w:ilvl w:val="0"/>
          <w:numId w:val="6"/>
        </w:numPr>
        <w:spacing w:after="120"/>
        <w:ind w:left="720"/>
        <w:contextualSpacing w:val="0"/>
        <w:rPr>
          <w:rFonts w:ascii="Times New Roman" w:hAnsi="Times New Roman" w:cs="Times New Roman"/>
          <w:sz w:val="20"/>
        </w:rPr>
      </w:pPr>
      <w:r>
        <w:rPr>
          <w:rFonts w:hint="eastAsia" w:ascii="Times New Roman" w:hAnsi="Times New Roman" w:cs="Times New Roman" w:eastAsiaTheme="minorEastAsia"/>
          <w:iCs/>
          <w:sz w:val="20"/>
          <w:szCs w:val="20"/>
        </w:rPr>
        <w:t xml:space="preserve">For whether to </w:t>
      </w:r>
      <w:r>
        <w:rPr>
          <w:rFonts w:ascii="Times New Roman" w:hAnsi="Times New Roman" w:cs="Times New Roman" w:eastAsiaTheme="minorEastAsia"/>
          <w:iCs/>
          <w:sz w:val="20"/>
          <w:szCs w:val="20"/>
        </w:rPr>
        <w:t>add additional requirement applicability about CD-SSB/NCD-SSB</w:t>
      </w:r>
      <w:r>
        <w:rPr>
          <w:rFonts w:hint="eastAsia" w:ascii="Times New Roman" w:hAnsi="Times New Roman" w:cs="Times New Roman" w:eastAsiaTheme="minorEastAsia"/>
          <w:iCs/>
          <w:sz w:val="20"/>
          <w:szCs w:val="20"/>
        </w:rPr>
        <w:t>,</w:t>
      </w:r>
    </w:p>
    <w:p w14:paraId="53F404E1">
      <w:pPr>
        <w:pStyle w:val="29"/>
        <w:numPr>
          <w:ilvl w:val="1"/>
          <w:numId w:val="6"/>
        </w:numPr>
        <w:spacing w:after="120"/>
        <w:contextualSpacing w:val="0"/>
        <w:rPr>
          <w:rFonts w:ascii="Times New Roman" w:hAnsi="Times New Roman" w:cs="Times New Roman"/>
          <w:sz w:val="20"/>
        </w:rPr>
      </w:pPr>
      <w:r>
        <w:rPr>
          <w:rFonts w:hint="eastAsia" w:ascii="Times New Roman" w:hAnsi="Times New Roman" w:cs="Times New Roman"/>
          <w:sz w:val="20"/>
        </w:rPr>
        <w:t xml:space="preserve">Option 1 </w:t>
      </w:r>
      <w:r>
        <w:rPr>
          <w:rFonts w:ascii="Times New Roman" w:hAnsi="Times New Roman" w:cs="Times New Roman"/>
          <w:sz w:val="20"/>
        </w:rPr>
        <w:t>(CATT, Ericsson, HW)</w:t>
      </w:r>
      <w:r>
        <w:rPr>
          <w:rFonts w:hint="eastAsia" w:ascii="Times New Roman" w:hAnsi="Times New Roman" w:cs="Times New Roman"/>
          <w:sz w:val="20"/>
        </w:rPr>
        <w:t>: A</w:t>
      </w:r>
      <w:r>
        <w:rPr>
          <w:rFonts w:ascii="Times New Roman" w:hAnsi="Times New Roman" w:cs="Times New Roman"/>
          <w:sz w:val="20"/>
        </w:rPr>
        <w:t>dd a clarification in a separate clause on this aspect (such as clause 3 in TS 38.133), and the wording can be:</w:t>
      </w:r>
      <w:r>
        <w:rPr>
          <w:rFonts w:hint="eastAsia" w:ascii="Times New Roman" w:hAnsi="Times New Roman" w:cs="Times New Roman"/>
          <w:sz w:val="20"/>
        </w:rPr>
        <w:t xml:space="preserve"> </w:t>
      </w:r>
    </w:p>
    <w:p w14:paraId="683A3C24">
      <w:pPr>
        <w:pStyle w:val="29"/>
        <w:numPr>
          <w:ilvl w:val="2"/>
          <w:numId w:val="6"/>
        </w:numPr>
        <w:spacing w:before="120"/>
        <w:ind w:hanging="357"/>
        <w:contextualSpacing w:val="0"/>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The requirements defined for (e)RedCap UEs with FR1-NTN are only applicable to CD-SSB.</w:t>
      </w:r>
    </w:p>
    <w:p w14:paraId="179580D7">
      <w:pPr>
        <w:pStyle w:val="29"/>
        <w:numPr>
          <w:ilvl w:val="1"/>
          <w:numId w:val="6"/>
        </w:numPr>
        <w:spacing w:after="120"/>
        <w:contextualSpacing w:val="0"/>
        <w:rPr>
          <w:rFonts w:ascii="Times New Roman" w:hAnsi="Times New Roman" w:cs="Times New Roman"/>
          <w:sz w:val="20"/>
        </w:rPr>
      </w:pPr>
      <w:r>
        <w:rPr>
          <w:rFonts w:hint="eastAsia" w:ascii="Times New Roman" w:hAnsi="Times New Roman" w:cs="Times New Roman"/>
          <w:sz w:val="20"/>
        </w:rPr>
        <w:t xml:space="preserve">Option 2 </w:t>
      </w:r>
      <w:r>
        <w:rPr>
          <w:rFonts w:ascii="Times New Roman" w:hAnsi="Times New Roman" w:cs="Times New Roman"/>
          <w:sz w:val="20"/>
        </w:rPr>
        <w:t>(</w:t>
      </w:r>
      <w:r>
        <w:rPr>
          <w:rFonts w:hint="eastAsia" w:ascii="Times New Roman" w:hAnsi="Times New Roman" w:cs="Times New Roman"/>
          <w:sz w:val="20"/>
        </w:rPr>
        <w:t>CMCC</w:t>
      </w:r>
      <w:r>
        <w:rPr>
          <w:rFonts w:ascii="Times New Roman" w:hAnsi="Times New Roman" w:cs="Times New Roman"/>
          <w:sz w:val="20"/>
        </w:rPr>
        <w:t>)</w:t>
      </w:r>
      <w:r>
        <w:rPr>
          <w:rFonts w:hint="eastAsia" w:ascii="Times New Roman" w:hAnsi="Times New Roman" w:cs="Times New Roman"/>
          <w:sz w:val="20"/>
        </w:rPr>
        <w:t>: N</w:t>
      </w:r>
      <w:r>
        <w:rPr>
          <w:rFonts w:ascii="Times New Roman" w:hAnsi="Times New Roman" w:cs="Times New Roman"/>
          <w:sz w:val="20"/>
        </w:rPr>
        <w:t xml:space="preserve">o need to add additional requirement applicability about CD-SSB/NCD-SSB. </w:t>
      </w:r>
    </w:p>
    <w:p w14:paraId="7C4147C3">
      <w:pPr>
        <w:rPr>
          <w:rFonts w:ascii="Times New Roman" w:hAnsi="Times New Roman" w:cs="Times New Roman"/>
          <w:sz w:val="20"/>
        </w:rPr>
      </w:pPr>
    </w:p>
    <w:p w14:paraId="1642161B">
      <w:pPr>
        <w:pStyle w:val="5"/>
        <w:spacing w:before="120" w:after="120" w:line="240" w:lineRule="auto"/>
        <w:rPr>
          <w:rFonts w:eastAsiaTheme="minorEastAsia"/>
          <w:bCs w:val="0"/>
          <w:iCs/>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1</w:t>
      </w:r>
      <w:r>
        <w:rPr>
          <w:rFonts w:ascii="Times New Roman" w:hAnsi="Times New Roman" w:cs="Times New Roman"/>
          <w:sz w:val="20"/>
          <w:u w:val="single"/>
          <w:lang w:eastAsia="ko-KR"/>
        </w:rPr>
        <w:t>-</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8</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O</w:t>
      </w:r>
      <w:r>
        <w:rPr>
          <w:rFonts w:ascii="Times New Roman" w:hAnsi="Times New Roman" w:cs="Times New Roman"/>
          <w:sz w:val="20"/>
          <w:u w:val="single"/>
          <w:lang w:eastAsia="ko-KR"/>
        </w:rPr>
        <w:t>ther features</w:t>
      </w:r>
    </w:p>
    <w:p w14:paraId="4B693F15">
      <w:r>
        <w:rPr>
          <w:b/>
        </w:rPr>
        <w:t>&lt;Way Forward&gt;</w:t>
      </w:r>
      <w:r>
        <w:rPr>
          <w:rFonts w:hint="eastAsia"/>
          <w:b/>
          <w:lang w:eastAsia="zh-CN"/>
        </w:rPr>
        <w:t>:</w:t>
      </w:r>
    </w:p>
    <w:p w14:paraId="104D2FBD">
      <w:pPr>
        <w:pStyle w:val="29"/>
        <w:numPr>
          <w:ilvl w:val="1"/>
          <w:numId w:val="6"/>
        </w:numPr>
        <w:spacing w:after="120"/>
        <w:contextualSpacing w:val="0"/>
        <w:rPr>
          <w:rFonts w:ascii="Times New Roman" w:hAnsi="Times New Roman" w:cs="Times New Roman" w:eastAsiaTheme="minorEastAsia"/>
          <w:iCs/>
          <w:sz w:val="20"/>
        </w:rPr>
      </w:pPr>
      <w:r>
        <w:rPr>
          <w:rFonts w:ascii="Times New Roman" w:hAnsi="Times New Roman" w:cs="Times New Roman"/>
          <w:sz w:val="20"/>
        </w:rPr>
        <w:t>Proposal 1 (CMCC):</w:t>
      </w:r>
      <w:r>
        <w:rPr>
          <w:rFonts w:hint="eastAsia" w:ascii="Times New Roman" w:hAnsi="Times New Roman" w:cs="Times New Roman"/>
          <w:sz w:val="20"/>
        </w:rPr>
        <w:t xml:space="preserve"> </w:t>
      </w:r>
      <w:r>
        <w:rPr>
          <w:rFonts w:ascii="Times New Roman" w:hAnsi="Times New Roman" w:cs="Times New Roman" w:eastAsiaTheme="minorEastAsia"/>
          <w:iCs/>
          <w:sz w:val="20"/>
        </w:rPr>
        <w:t>For the optional NTN features which have impact on RAN4 requirements and need enhanced UE capability, whether Redcap UE could optionally support it and whether RAN4 need to define requirements should be further discussed.</w:t>
      </w:r>
    </w:p>
    <w:p w14:paraId="73E5CD05">
      <w:pPr>
        <w:pStyle w:val="29"/>
        <w:numPr>
          <w:ilvl w:val="2"/>
          <w:numId w:val="6"/>
        </w:numPr>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Set 1: propose to be optionally supported by Redcap over NTN</w:t>
      </w:r>
    </w:p>
    <w:p w14:paraId="23D92409">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sz w:val="20"/>
        </w:rPr>
      </w:pPr>
      <w:r>
        <w:rPr>
          <w:rFonts w:ascii="Times New Roman" w:hAnsi="Times New Roman" w:cs="Times New Roman"/>
          <w:sz w:val="20"/>
        </w:rPr>
        <w:t>SMTC adjustment in idle/inactive</w:t>
      </w:r>
    </w:p>
    <w:p w14:paraId="38E26D1C">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sz w:val="20"/>
        </w:rPr>
      </w:pPr>
      <w:r>
        <w:rPr>
          <w:rFonts w:ascii="Times New Roman" w:hAnsi="Times New Roman" w:cs="Times New Roman"/>
          <w:sz w:val="20"/>
        </w:rPr>
        <w:t>Location-based measurement report trigger</w:t>
      </w:r>
    </w:p>
    <w:p w14:paraId="7011A6FD">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sz w:val="20"/>
        </w:rPr>
      </w:pPr>
      <w:r>
        <w:rPr>
          <w:rFonts w:ascii="Times New Roman" w:hAnsi="Times New Roman" w:cs="Times New Roman"/>
          <w:sz w:val="20"/>
        </w:rPr>
        <w:t>Enhanced RRM requirements for measurements in IDLE and INACTIVE modes</w:t>
      </w:r>
    </w:p>
    <w:p w14:paraId="3A80F4B5">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sz w:val="20"/>
        </w:rPr>
      </w:pPr>
      <w:r>
        <w:rPr>
          <w:rFonts w:ascii="Times New Roman" w:hAnsi="Times New Roman" w:cs="Times New Roman"/>
          <w:sz w:val="20"/>
        </w:rPr>
        <w:t>The number of target LEO satellites the UE can monitor per carrier including serving satellite</w:t>
      </w:r>
    </w:p>
    <w:p w14:paraId="0122224D">
      <w:pPr>
        <w:pStyle w:val="29"/>
        <w:numPr>
          <w:ilvl w:val="0"/>
          <w:numId w:val="8"/>
        </w:numPr>
        <w:contextualSpacing w:val="0"/>
        <w:rPr>
          <w:rFonts w:ascii="Times New Roman" w:hAnsi="Times New Roman" w:cs="Times New Roman"/>
          <w:b/>
          <w:bCs/>
          <w:iCs/>
          <w:sz w:val="20"/>
          <w:szCs w:val="20"/>
        </w:rPr>
      </w:pPr>
      <w:r>
        <w:rPr>
          <w:rFonts w:ascii="Times New Roman" w:hAnsi="Times New Roman" w:cs="Times New Roman"/>
          <w:sz w:val="20"/>
        </w:rPr>
        <w:t>Further discuss the max number</w:t>
      </w:r>
    </w:p>
    <w:p w14:paraId="29BE3392">
      <w:pPr>
        <w:pStyle w:val="29"/>
        <w:numPr>
          <w:ilvl w:val="2"/>
          <w:numId w:val="6"/>
        </w:numPr>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Set 2: FFS</w:t>
      </w:r>
    </w:p>
    <w:p w14:paraId="421FC886">
      <w:pPr>
        <w:pStyle w:val="29"/>
        <w:keepNext w:val="0"/>
        <w:keepLines w:val="0"/>
        <w:pageBreakBefore w:val="0"/>
        <w:widowControl/>
        <w:numPr>
          <w:ilvl w:val="3"/>
          <w:numId w:val="6"/>
        </w:numPr>
        <w:kinsoku/>
        <w:wordWrap/>
        <w:overflowPunct/>
        <w:topLinePunct w:val="0"/>
        <w:autoSpaceDE/>
        <w:autoSpaceDN/>
        <w:bidi w:val="0"/>
        <w:adjustRightInd/>
        <w:snapToGrid/>
        <w:spacing w:after="0"/>
        <w:contextualSpacing w:val="0"/>
        <w:textAlignment w:val="auto"/>
        <w:rPr>
          <w:rFonts w:ascii="Times New Roman" w:hAnsi="Times New Roman" w:cs="Times New Roman"/>
          <w:sz w:val="20"/>
        </w:rPr>
      </w:pPr>
      <w:r>
        <w:rPr>
          <w:rFonts w:ascii="Times New Roman" w:hAnsi="Times New Roman" w:cs="Times New Roman"/>
          <w:sz w:val="20"/>
        </w:rPr>
        <w:t>Parallel measurements on cells belonging to a different NGSO satellite than a serving satellite without scheduling restrictions on normal operations with the serving cell</w:t>
      </w:r>
    </w:p>
    <w:p w14:paraId="796224DA">
      <w:pPr>
        <w:pStyle w:val="29"/>
        <w:keepNext w:val="0"/>
        <w:keepLines w:val="0"/>
        <w:pageBreakBefore w:val="0"/>
        <w:widowControl/>
        <w:numPr>
          <w:ilvl w:val="3"/>
          <w:numId w:val="6"/>
        </w:numPr>
        <w:kinsoku/>
        <w:wordWrap/>
        <w:overflowPunct/>
        <w:topLinePunct w:val="0"/>
        <w:autoSpaceDE/>
        <w:autoSpaceDN/>
        <w:bidi w:val="0"/>
        <w:adjustRightInd/>
        <w:snapToGrid/>
        <w:spacing w:after="0"/>
        <w:contextualSpacing w:val="0"/>
        <w:textAlignment w:val="auto"/>
        <w:rPr>
          <w:rFonts w:eastAsiaTheme="minorEastAsia"/>
          <w:lang w:eastAsia="zh-CN"/>
        </w:rPr>
      </w:pPr>
      <w:r>
        <w:rPr>
          <w:rFonts w:ascii="Times New Roman" w:hAnsi="Times New Roman" w:cs="Times New Roman"/>
          <w:sz w:val="20"/>
        </w:rPr>
        <w:t>Parallel measurements on multiple NGSO satellites within a SMTC</w:t>
      </w:r>
    </w:p>
    <w:p w14:paraId="0E19F1D6">
      <w:pPr>
        <w:pStyle w:val="29"/>
        <w:keepNext w:val="0"/>
        <w:keepLines w:val="0"/>
        <w:pageBreakBefore w:val="0"/>
        <w:widowControl/>
        <w:numPr>
          <w:numId w:val="0"/>
        </w:numPr>
        <w:kinsoku/>
        <w:wordWrap/>
        <w:overflowPunct/>
        <w:topLinePunct w:val="0"/>
        <w:autoSpaceDE/>
        <w:autoSpaceDN/>
        <w:bidi w:val="0"/>
        <w:adjustRightInd/>
        <w:snapToGrid/>
        <w:spacing w:after="0"/>
        <w:contextualSpacing w:val="0"/>
        <w:textAlignment w:val="auto"/>
        <w:rPr>
          <w:rFonts w:ascii="Times New Roman" w:hAnsi="Times New Roman" w:cs="Times New Roman"/>
          <w:sz w:val="20"/>
          <w:szCs w:val="20"/>
        </w:rPr>
      </w:pPr>
    </w:p>
    <w:p w14:paraId="7974DBAC">
      <w:pPr>
        <w:pStyle w:val="29"/>
        <w:keepNext w:val="0"/>
        <w:keepLines w:val="0"/>
        <w:pageBreakBefore w:val="0"/>
        <w:widowControl/>
        <w:numPr>
          <w:numId w:val="0"/>
        </w:numPr>
        <w:kinsoku/>
        <w:wordWrap/>
        <w:overflowPunct/>
        <w:topLinePunct w:val="0"/>
        <w:autoSpaceDE/>
        <w:autoSpaceDN/>
        <w:bidi w:val="0"/>
        <w:adjustRightInd/>
        <w:snapToGrid/>
        <w:spacing w:after="0"/>
        <w:contextualSpacing w:val="0"/>
        <w:textAlignment w:val="auto"/>
        <w:rPr>
          <w:rFonts w:ascii="Times New Roman" w:hAnsi="Times New Roman" w:cs="Times New Roman"/>
          <w:sz w:val="20"/>
          <w:szCs w:val="20"/>
        </w:rPr>
        <w:sectPr>
          <w:footerReference r:id="rId4" w:type="default"/>
          <w:footnotePr>
            <w:numRestart w:val="eachSect"/>
          </w:footnotePr>
          <w:type w:val="continuous"/>
          <w:pgSz w:w="20863" w:h="14740" w:orient="landscape"/>
          <w:pgMar w:top="1133" w:right="1416" w:bottom="1133" w:left="1133" w:header="850" w:footer="340" w:gutter="0"/>
          <w:cols w:space="720" w:num="1"/>
          <w:formProt w:val="0"/>
          <w:docGrid w:linePitch="272" w:charSpace="0"/>
        </w:sectPr>
      </w:pPr>
    </w:p>
    <w:p w14:paraId="79671AD4">
      <w:pPr>
        <w:pStyle w:val="29"/>
        <w:keepNext w:val="0"/>
        <w:keepLines w:val="0"/>
        <w:pageBreakBefore w:val="0"/>
        <w:widowControl/>
        <w:numPr>
          <w:numId w:val="0"/>
        </w:numPr>
        <w:kinsoku/>
        <w:wordWrap/>
        <w:overflowPunct/>
        <w:topLinePunct w:val="0"/>
        <w:autoSpaceDE/>
        <w:autoSpaceDN/>
        <w:bidi w:val="0"/>
        <w:adjustRightInd/>
        <w:snapToGrid/>
        <w:spacing w:after="0"/>
        <w:contextualSpacing w:val="0"/>
        <w:textAlignment w:val="auto"/>
        <w:rPr>
          <w:rFonts w:ascii="Times New Roman" w:hAnsi="Times New Roman" w:cs="Times New Roman"/>
          <w:sz w:val="20"/>
          <w:szCs w:val="20"/>
        </w:rPr>
        <w:sectPr>
          <w:footnotePr>
            <w:numRestart w:val="eachSect"/>
          </w:footnotePr>
          <w:type w:val="continuous"/>
          <w:pgSz w:w="20863" w:h="14740" w:orient="landscape"/>
          <w:pgMar w:top="1133" w:right="1416" w:bottom="1133" w:left="1133" w:header="850" w:footer="340" w:gutter="0"/>
          <w:cols w:space="720" w:num="1"/>
          <w:formProt w:val="0"/>
          <w:docGrid w:linePitch="272" w:charSpace="0"/>
        </w:sectPr>
      </w:pPr>
    </w:p>
    <w:bookmarkEnd w:id="2"/>
    <w:bookmarkEnd w:id="3"/>
    <w:bookmarkEnd w:id="4"/>
    <w:p w14:paraId="443FAC60">
      <w:pPr>
        <w:pStyle w:val="2"/>
        <w:ind w:left="432" w:hanging="432"/>
        <w:rPr>
          <w:lang w:val="en-US" w:eastAsia="ja-JP"/>
        </w:rPr>
      </w:pPr>
      <w:r>
        <w:rPr>
          <w:rFonts w:hint="eastAsia" w:eastAsia="宋体"/>
          <w:lang w:val="en-US" w:eastAsia="zh-CN"/>
        </w:rPr>
        <w:t xml:space="preserve">2 </w:t>
      </w:r>
      <w:r>
        <w:rPr>
          <w:lang w:val="en-US" w:eastAsia="ja-JP"/>
        </w:rPr>
        <w:t>Topic #</w:t>
      </w:r>
      <w:r>
        <w:rPr>
          <w:rFonts w:hint="eastAsia" w:eastAsia="宋体"/>
          <w:lang w:val="en-US" w:eastAsia="zh-CN"/>
        </w:rPr>
        <w:t>2</w:t>
      </w:r>
      <w:r>
        <w:rPr>
          <w:lang w:val="en-US" w:eastAsia="ja-JP"/>
        </w:rPr>
        <w:t>: Reduction in the number of UE Rx branches</w:t>
      </w:r>
    </w:p>
    <w:p w14:paraId="0856D219">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2</w:t>
      </w:r>
      <w:r>
        <w:rPr>
          <w:rFonts w:ascii="Times New Roman" w:hAnsi="Times New Roman" w:cs="Times New Roman"/>
          <w:sz w:val="24"/>
          <w:szCs w:val="16"/>
        </w:rPr>
        <w:t>-</w:t>
      </w:r>
      <w:r>
        <w:rPr>
          <w:rFonts w:hint="eastAsia" w:ascii="Times New Roman" w:hAnsi="Times New Roman" w:cs="Times New Roman"/>
          <w:sz w:val="24"/>
          <w:szCs w:val="16"/>
        </w:rPr>
        <w:t>1</w:t>
      </w:r>
      <w:r>
        <w:rPr>
          <w:rFonts w:ascii="Times New Roman" w:hAnsi="Times New Roman" w:cs="Times New Roman"/>
          <w:sz w:val="24"/>
          <w:szCs w:val="16"/>
        </w:rPr>
        <w:t xml:space="preserve"> </w:t>
      </w:r>
      <w:r>
        <w:rPr>
          <w:rFonts w:hint="eastAsia" w:ascii="Times New Roman" w:hAnsi="Times New Roman" w:cs="Times New Roman"/>
          <w:sz w:val="24"/>
          <w:szCs w:val="16"/>
        </w:rPr>
        <w:t>M</w:t>
      </w:r>
      <w:r>
        <w:rPr>
          <w:rFonts w:ascii="Times New Roman" w:hAnsi="Times New Roman" w:cs="Times New Roman"/>
          <w:sz w:val="24"/>
          <w:szCs w:val="16"/>
        </w:rPr>
        <w:t>obility</w:t>
      </w:r>
      <w:r>
        <w:rPr>
          <w:rFonts w:hint="eastAsia" w:ascii="Times New Roman" w:hAnsi="Times New Roman" w:cs="Times New Roman"/>
          <w:sz w:val="24"/>
          <w:szCs w:val="16"/>
        </w:rPr>
        <w:t xml:space="preserve"> </w:t>
      </w:r>
      <w:r>
        <w:rPr>
          <w:rFonts w:ascii="Times New Roman" w:hAnsi="Times New Roman" w:cs="Times New Roman"/>
          <w:sz w:val="24"/>
          <w:szCs w:val="16"/>
        </w:rPr>
        <w:t>requirements</w:t>
      </w:r>
      <w:r>
        <w:rPr>
          <w:rFonts w:hint="eastAsia" w:ascii="Times New Roman" w:hAnsi="Times New Roman" w:cs="Times New Roman"/>
          <w:sz w:val="24"/>
          <w:szCs w:val="16"/>
        </w:rPr>
        <w:t xml:space="preserve"> for 1Rx/2Rx</w:t>
      </w:r>
      <w:r>
        <w:rPr>
          <w:rFonts w:ascii="Times New Roman" w:hAnsi="Times New Roman" w:cs="Times New Roman"/>
          <w:sz w:val="24"/>
          <w:szCs w:val="16"/>
        </w:rPr>
        <w:t xml:space="preserve"> (e)RedCap UEs with FR1-NTN</w:t>
      </w:r>
    </w:p>
    <w:p w14:paraId="2D76D870">
      <w:pPr>
        <w:spacing w:before="240" w:after="240"/>
        <w:rPr>
          <w:rFonts w:ascii="Times New Roman" w:hAnsi="Times New Roman" w:cs="Times New Roman"/>
          <w:b/>
          <w:bCs/>
          <w:sz w:val="22"/>
          <w:szCs w:val="16"/>
        </w:rPr>
      </w:pPr>
      <w:r>
        <w:rPr>
          <w:rFonts w:hint="eastAsia" w:ascii="Times New Roman" w:hAnsi="Times New Roman" w:cs="Times New Roman"/>
          <w:b/>
          <w:bCs/>
          <w:sz w:val="22"/>
          <w:szCs w:val="16"/>
        </w:rPr>
        <w:t xml:space="preserve">1. </w:t>
      </w:r>
      <w:r>
        <w:rPr>
          <w:rFonts w:ascii="Times New Roman" w:hAnsi="Times New Roman" w:cs="Times New Roman"/>
          <w:b/>
          <w:bCs/>
          <w:sz w:val="22"/>
          <w:szCs w:val="16"/>
        </w:rPr>
        <w:t>RRC_IDLE/RRC_INACTIVE mode mobility</w:t>
      </w:r>
    </w:p>
    <w:p w14:paraId="19A594CB">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1-1</w:t>
      </w:r>
      <w:r>
        <w:rPr>
          <w:rFonts w:ascii="Times New Roman" w:hAnsi="Times New Roman" w:cs="Times New Roman"/>
          <w:sz w:val="20"/>
          <w:u w:val="single"/>
          <w:lang w:eastAsia="ko-KR"/>
        </w:rPr>
        <w:t>: RRC_IDLE/RRC_INACTIVE mode mobility for 1Rx/2Rx (e)RedCap UEs with FR1-NTN</w:t>
      </w:r>
    </w:p>
    <w:p w14:paraId="567198E1">
      <w:pPr>
        <w:rPr>
          <w:lang w:eastAsia="ko-KR"/>
        </w:rPr>
      </w:pPr>
      <w:r>
        <w:rPr>
          <w:rFonts w:hint="eastAsia" w:cs="Times New Roman"/>
          <w:i/>
          <w:iCs/>
          <w:color w:val="0070C0"/>
          <w:sz w:val="20"/>
          <w:u w:val="none"/>
          <w:lang w:val="en-US" w:eastAsia="zh-CN"/>
        </w:rPr>
        <w:t>Online agreement</w:t>
      </w:r>
    </w:p>
    <w:p w14:paraId="4F4E0D23">
      <w:pPr>
        <w:snapToGrid w:val="0"/>
        <w:spacing w:after="120"/>
      </w:pPr>
      <w:r>
        <w:rPr>
          <w:b/>
          <w:szCs w:val="24"/>
          <w:highlight w:val="green"/>
          <w:lang w:eastAsia="zh-CN"/>
        </w:rPr>
        <w:t>&lt; Agreement &gt;</w:t>
      </w:r>
      <w:r>
        <w:rPr>
          <w:rFonts w:hint="eastAsia"/>
          <w:b/>
          <w:szCs w:val="24"/>
          <w:highlight w:val="green"/>
          <w:lang w:val="en-US" w:eastAsia="zh-CN"/>
        </w:rPr>
        <w:t>:</w:t>
      </w:r>
    </w:p>
    <w:p w14:paraId="483555C7">
      <w:pPr>
        <w:pStyle w:val="29"/>
        <w:numPr>
          <w:ilvl w:val="1"/>
          <w:numId w:val="6"/>
        </w:numPr>
        <w:spacing w:after="120"/>
        <w:contextualSpacing w:val="0"/>
        <w:rPr>
          <w:sz w:val="20"/>
          <w:szCs w:val="20"/>
          <w:highlight w:val="none"/>
        </w:rPr>
      </w:pPr>
      <w:r>
        <w:rPr>
          <w:iCs/>
          <w:sz w:val="20"/>
          <w:szCs w:val="20"/>
          <w:highlight w:val="none"/>
        </w:rPr>
        <w:t>For 2Rx (e)RedCap UEs with FR1-NTN bands,</w:t>
      </w:r>
    </w:p>
    <w:p w14:paraId="76ACDF94">
      <w:pPr>
        <w:pStyle w:val="29"/>
        <w:numPr>
          <w:ilvl w:val="2"/>
          <w:numId w:val="6"/>
        </w:numPr>
        <w:snapToGrid w:val="0"/>
        <w:rPr>
          <w:iCs/>
          <w:sz w:val="20"/>
          <w:szCs w:val="20"/>
          <w:highlight w:val="none"/>
        </w:rPr>
      </w:pPr>
      <w:r>
        <w:rPr>
          <w:iCs/>
          <w:sz w:val="20"/>
          <w:szCs w:val="20"/>
          <w:highlight w:val="none"/>
        </w:rPr>
        <w:t>RAN4 to reuse the legacy mobility requirements in RRC_IDLE / RRC_INACTIVE state defined for normal UEs with FR1-NTN in high level.</w:t>
      </w:r>
    </w:p>
    <w:p w14:paraId="666B2111">
      <w:pPr>
        <w:pStyle w:val="29"/>
        <w:keepNext w:val="0"/>
        <w:keepLines w:val="0"/>
        <w:pageBreakBefore w:val="0"/>
        <w:widowControl/>
        <w:numPr>
          <w:ilvl w:val="3"/>
          <w:numId w:val="6"/>
        </w:numPr>
        <w:kinsoku/>
        <w:wordWrap/>
        <w:overflowPunct/>
        <w:topLinePunct w:val="0"/>
        <w:autoSpaceDE/>
        <w:autoSpaceDN/>
        <w:bidi w:val="0"/>
        <w:adjustRightInd/>
        <w:snapToGrid/>
        <w:spacing w:after="0"/>
        <w:ind w:left="2920" w:hanging="181"/>
        <w:contextualSpacing w:val="0"/>
        <w:textAlignment w:val="auto"/>
        <w:rPr>
          <w:iCs/>
          <w:sz w:val="20"/>
          <w:szCs w:val="20"/>
          <w:highlight w:val="none"/>
        </w:rPr>
      </w:pPr>
      <w:r>
        <w:rPr>
          <w:iCs/>
          <w:sz w:val="20"/>
          <w:szCs w:val="20"/>
          <w:highlight w:val="none"/>
        </w:rPr>
        <w:t>Depend on the supported UE capabilities (e.g., multiple SMTC), the existing NR NTN requirements may need be revised.</w:t>
      </w:r>
    </w:p>
    <w:p w14:paraId="57FF2941">
      <w:pPr>
        <w:pStyle w:val="29"/>
        <w:keepNext w:val="0"/>
        <w:keepLines w:val="0"/>
        <w:pageBreakBefore w:val="0"/>
        <w:widowControl/>
        <w:numPr>
          <w:ilvl w:val="1"/>
          <w:numId w:val="6"/>
        </w:numPr>
        <w:kinsoku/>
        <w:wordWrap/>
        <w:overflowPunct/>
        <w:topLinePunct w:val="0"/>
        <w:autoSpaceDE/>
        <w:autoSpaceDN/>
        <w:bidi w:val="0"/>
        <w:adjustRightInd/>
        <w:snapToGrid/>
        <w:spacing w:before="137" w:beforeLines="50" w:after="120"/>
        <w:ind w:left="1661" w:hanging="363"/>
        <w:contextualSpacing w:val="0"/>
        <w:textAlignment w:val="auto"/>
        <w:rPr>
          <w:sz w:val="20"/>
          <w:szCs w:val="20"/>
          <w:highlight w:val="none"/>
        </w:rPr>
      </w:pPr>
      <w:r>
        <w:rPr>
          <w:sz w:val="20"/>
          <w:szCs w:val="20"/>
          <w:highlight w:val="none"/>
        </w:rPr>
        <w:t>For 1Rx (e)RedCap UEs with FR1-NTN bands,</w:t>
      </w:r>
    </w:p>
    <w:p w14:paraId="1B492F3B">
      <w:pPr>
        <w:pStyle w:val="29"/>
        <w:numPr>
          <w:ilvl w:val="2"/>
          <w:numId w:val="6"/>
        </w:numPr>
        <w:snapToGrid w:val="0"/>
        <w:rPr>
          <w:iCs/>
          <w:sz w:val="20"/>
          <w:szCs w:val="20"/>
          <w:highlight w:val="none"/>
        </w:rPr>
      </w:pPr>
      <w:r>
        <w:rPr>
          <w:iCs/>
          <w:sz w:val="20"/>
          <w:szCs w:val="20"/>
          <w:highlight w:val="none"/>
        </w:rPr>
        <w:t xml:space="preserve">RAN4 to reuse the same offset of 1Rx </w:t>
      </w:r>
      <w:r>
        <w:rPr>
          <w:sz w:val="20"/>
          <w:szCs w:val="20"/>
          <w:highlight w:val="none"/>
        </w:rPr>
        <w:t>RedCap UEs</w:t>
      </w:r>
      <w:r>
        <w:rPr>
          <w:iCs/>
          <w:sz w:val="20"/>
          <w:szCs w:val="20"/>
          <w:highlight w:val="none"/>
        </w:rPr>
        <w:t xml:space="preserve"> in TN compared to 2Rx </w:t>
      </w:r>
      <w:r>
        <w:rPr>
          <w:sz w:val="20"/>
          <w:szCs w:val="20"/>
          <w:highlight w:val="none"/>
        </w:rPr>
        <w:t>(e)RedCap UEs</w:t>
      </w:r>
      <w:r>
        <w:rPr>
          <w:iCs/>
          <w:sz w:val="20"/>
          <w:szCs w:val="20"/>
          <w:highlight w:val="none"/>
        </w:rPr>
        <w:t>.</w:t>
      </w:r>
    </w:p>
    <w:p w14:paraId="678062BD">
      <w:pPr>
        <w:pStyle w:val="70"/>
        <w:numPr>
          <w:ilvl w:val="0"/>
          <w:numId w:val="9"/>
        </w:numPr>
        <w:overflowPunct w:val="0"/>
        <w:autoSpaceDE w:val="0"/>
        <w:autoSpaceDN w:val="0"/>
        <w:adjustRightInd w:val="0"/>
        <w:snapToGrid w:val="0"/>
        <w:spacing w:after="120"/>
        <w:textAlignment w:val="baseline"/>
        <w:rPr>
          <w:rFonts w:eastAsiaTheme="minorEastAsia"/>
          <w:iCs/>
          <w:sz w:val="20"/>
          <w:szCs w:val="20"/>
          <w:highlight w:val="none"/>
        </w:rPr>
      </w:pPr>
      <w:r>
        <w:rPr>
          <w:rFonts w:eastAsiaTheme="minorEastAsia"/>
          <w:iCs/>
          <w:sz w:val="20"/>
          <w:szCs w:val="20"/>
          <w:highlight w:val="none"/>
          <w:lang w:eastAsia="zh-CN"/>
        </w:rPr>
        <w:t xml:space="preserve">For </w:t>
      </w:r>
      <w:r>
        <w:rPr>
          <w:rFonts w:eastAsiaTheme="minorEastAsia"/>
          <w:i/>
          <w:iCs/>
          <w:sz w:val="20"/>
          <w:szCs w:val="20"/>
          <w:highlight w:val="none"/>
        </w:rPr>
        <w:t>Qrxlevmin</w:t>
      </w:r>
      <w:r>
        <w:rPr>
          <w:rFonts w:eastAsiaTheme="minorEastAsia"/>
          <w:iCs/>
          <w:sz w:val="20"/>
          <w:szCs w:val="20"/>
          <w:highlight w:val="none"/>
        </w:rPr>
        <w:t xml:space="preserve"> and </w:t>
      </w:r>
      <w:r>
        <w:rPr>
          <w:rFonts w:eastAsiaTheme="minorEastAsia"/>
          <w:i/>
          <w:iCs/>
          <w:sz w:val="20"/>
          <w:szCs w:val="20"/>
          <w:highlight w:val="none"/>
        </w:rPr>
        <w:t>Qqualmin</w:t>
      </w:r>
      <w:r>
        <w:rPr>
          <w:rFonts w:eastAsiaTheme="minorEastAsia"/>
          <w:iCs/>
          <w:sz w:val="20"/>
          <w:szCs w:val="20"/>
          <w:highlight w:val="none"/>
        </w:rPr>
        <w:t>: -1 dB offset can be reused.</w:t>
      </w:r>
    </w:p>
    <w:p w14:paraId="59763226">
      <w:pPr>
        <w:pStyle w:val="70"/>
        <w:numPr>
          <w:ilvl w:val="0"/>
          <w:numId w:val="9"/>
        </w:numPr>
        <w:overflowPunct w:val="0"/>
        <w:autoSpaceDE w:val="0"/>
        <w:autoSpaceDN w:val="0"/>
        <w:adjustRightInd w:val="0"/>
        <w:snapToGrid w:val="0"/>
        <w:spacing w:after="120"/>
        <w:textAlignment w:val="baseline"/>
        <w:rPr>
          <w:sz w:val="20"/>
          <w:szCs w:val="20"/>
          <w:highlight w:val="none"/>
        </w:rPr>
      </w:pPr>
      <w:r>
        <w:rPr>
          <w:sz w:val="20"/>
          <w:szCs w:val="20"/>
          <w:highlight w:val="none"/>
        </w:rPr>
        <w:t>For the measurements of intra- and inter-frequency NR cells,</w:t>
      </w:r>
    </w:p>
    <w:p w14:paraId="73976000">
      <w:pPr>
        <w:pStyle w:val="70"/>
        <w:numPr>
          <w:ilvl w:val="0"/>
          <w:numId w:val="10"/>
        </w:numPr>
        <w:overflowPunct w:val="0"/>
        <w:autoSpaceDE w:val="0"/>
        <w:autoSpaceDN w:val="0"/>
        <w:adjustRightInd w:val="0"/>
        <w:snapToGrid w:val="0"/>
        <w:spacing w:after="120"/>
        <w:textAlignment w:val="baseline"/>
        <w:rPr>
          <w:sz w:val="20"/>
          <w:szCs w:val="20"/>
          <w:highlight w:val="none"/>
        </w:rPr>
      </w:pPr>
      <w:r>
        <w:rPr>
          <w:sz w:val="20"/>
          <w:szCs w:val="20"/>
          <w:highlight w:val="none"/>
        </w:rPr>
        <w:t>+1 dB</w:t>
      </w:r>
      <w:r>
        <w:rPr>
          <w:sz w:val="20"/>
          <w:szCs w:val="20"/>
          <w:highlight w:val="none"/>
          <w:lang w:val="en-US"/>
        </w:rPr>
        <w:t xml:space="preserve"> offset on </w:t>
      </w:r>
      <w:r>
        <w:rPr>
          <w:sz w:val="20"/>
          <w:szCs w:val="20"/>
          <w:highlight w:val="none"/>
        </w:rPr>
        <w:t xml:space="preserve">the </w:t>
      </w:r>
      <w:r>
        <w:rPr>
          <w:sz w:val="20"/>
          <w:szCs w:val="20"/>
          <w:highlight w:val="none"/>
          <w:lang w:val="en-US"/>
        </w:rPr>
        <w:t xml:space="preserve">threshold of </w:t>
      </w:r>
      <w:r>
        <w:rPr>
          <w:i/>
          <w:sz w:val="20"/>
          <w:szCs w:val="20"/>
          <w:highlight w:val="none"/>
        </w:rPr>
        <w:t>absThreshSS-BlocksConsolidation</w:t>
      </w:r>
      <w:r>
        <w:rPr>
          <w:sz w:val="20"/>
          <w:szCs w:val="20"/>
          <w:highlight w:val="none"/>
          <w:lang w:val="en-US"/>
        </w:rPr>
        <w:t xml:space="preserve"> can be reused as a baseline.</w:t>
      </w:r>
    </w:p>
    <w:p w14:paraId="5B37150A">
      <w:pPr>
        <w:pStyle w:val="70"/>
        <w:numPr>
          <w:ilvl w:val="0"/>
          <w:numId w:val="10"/>
        </w:numPr>
        <w:overflowPunct w:val="0"/>
        <w:autoSpaceDE w:val="0"/>
        <w:autoSpaceDN w:val="0"/>
        <w:adjustRightInd w:val="0"/>
        <w:snapToGrid w:val="0"/>
        <w:spacing w:after="120"/>
        <w:textAlignment w:val="baseline"/>
        <w:rPr>
          <w:sz w:val="20"/>
          <w:szCs w:val="20"/>
          <w:highlight w:val="none"/>
        </w:rPr>
      </w:pPr>
      <w:r>
        <w:rPr>
          <w:sz w:val="20"/>
          <w:szCs w:val="20"/>
          <w:highlight w:val="none"/>
          <w:lang w:val="en-US"/>
        </w:rPr>
        <w:t xml:space="preserve">For the cases of </w:t>
      </w:r>
      <w:r>
        <w:rPr>
          <w:i/>
          <w:sz w:val="20"/>
          <w:szCs w:val="20"/>
          <w:highlight w:val="none"/>
        </w:rPr>
        <w:t>rangeToBestCell</w:t>
      </w:r>
      <w:r>
        <w:rPr>
          <w:sz w:val="20"/>
          <w:szCs w:val="20"/>
          <w:highlight w:val="none"/>
        </w:rPr>
        <w:t xml:space="preserve"> is not configured and </w:t>
      </w:r>
      <w:r>
        <w:rPr>
          <w:i/>
          <w:sz w:val="20"/>
          <w:szCs w:val="20"/>
          <w:highlight w:val="none"/>
        </w:rPr>
        <w:t>rangeToBestCell</w:t>
      </w:r>
      <w:r>
        <w:rPr>
          <w:sz w:val="20"/>
          <w:szCs w:val="20"/>
          <w:highlight w:val="none"/>
        </w:rPr>
        <w:t xml:space="preserve"> is configured, +1 dB offset can be reused for better cell ranked</w:t>
      </w:r>
      <w:r>
        <w:rPr>
          <w:sz w:val="20"/>
          <w:szCs w:val="20"/>
          <w:highlight w:val="none"/>
          <w:lang w:val="en-US"/>
        </w:rPr>
        <w:t>.</w:t>
      </w:r>
    </w:p>
    <w:p w14:paraId="32F412D7">
      <w:pPr>
        <w:pStyle w:val="70"/>
        <w:numPr>
          <w:ilvl w:val="0"/>
          <w:numId w:val="9"/>
        </w:numPr>
        <w:overflowPunct w:val="0"/>
        <w:autoSpaceDE w:val="0"/>
        <w:autoSpaceDN w:val="0"/>
        <w:adjustRightInd w:val="0"/>
        <w:snapToGrid w:val="0"/>
        <w:spacing w:after="120"/>
        <w:textAlignment w:val="baseline"/>
        <w:rPr>
          <w:sz w:val="20"/>
          <w:szCs w:val="20"/>
          <w:highlight w:val="none"/>
        </w:rPr>
      </w:pPr>
      <w:r>
        <w:rPr>
          <w:sz w:val="20"/>
          <w:szCs w:val="20"/>
          <w:highlight w:val="none"/>
        </w:rPr>
        <w:t>In RRC_IDLE / RRC_INACTIVE state,</w:t>
      </w:r>
      <w:r>
        <w:rPr>
          <w:sz w:val="20"/>
          <w:szCs w:val="20"/>
          <w:highlight w:val="none"/>
          <w:lang w:eastAsia="zh-CN"/>
        </w:rPr>
        <w:t xml:space="preserve"> </w:t>
      </w:r>
      <w:r>
        <w:rPr>
          <w:sz w:val="20"/>
          <w:szCs w:val="20"/>
          <w:highlight w:val="none"/>
        </w:rPr>
        <w:t>+1 dB offset can be reused for a margin in FR1</w:t>
      </w:r>
      <w:r>
        <w:rPr>
          <w:sz w:val="20"/>
          <w:szCs w:val="20"/>
          <w:highlight w:val="none"/>
          <w:lang w:eastAsia="zh-CN"/>
        </w:rPr>
        <w:t xml:space="preserve"> f</w:t>
      </w:r>
      <w:r>
        <w:rPr>
          <w:sz w:val="20"/>
          <w:szCs w:val="20"/>
          <w:highlight w:val="none"/>
        </w:rPr>
        <w:t>or reselections when UE evaluating whether a newly detectable inter-frequency cell meets the reselection criteria</w:t>
      </w:r>
      <w:r>
        <w:rPr>
          <w:sz w:val="20"/>
          <w:szCs w:val="20"/>
          <w:highlight w:val="none"/>
          <w:lang w:eastAsia="zh-CN"/>
        </w:rPr>
        <w:t>.</w:t>
      </w:r>
    </w:p>
    <w:p w14:paraId="219B5D78">
      <w:pPr>
        <w:pStyle w:val="70"/>
        <w:numPr>
          <w:ilvl w:val="0"/>
          <w:numId w:val="10"/>
        </w:numPr>
        <w:overflowPunct w:val="0"/>
        <w:autoSpaceDE w:val="0"/>
        <w:autoSpaceDN w:val="0"/>
        <w:adjustRightInd w:val="0"/>
        <w:snapToGrid w:val="0"/>
        <w:spacing w:after="120"/>
        <w:textAlignment w:val="baseline"/>
        <w:rPr>
          <w:sz w:val="20"/>
          <w:szCs w:val="20"/>
          <w:highlight w:val="none"/>
          <w:lang w:val="en-US"/>
        </w:rPr>
      </w:pPr>
      <w:r>
        <w:rPr>
          <w:sz w:val="20"/>
          <w:szCs w:val="20"/>
          <w:highlight w:val="none"/>
        </w:rPr>
        <w:t>For 1 Rx RedCap by a margin of at least</w:t>
      </w:r>
      <w:r>
        <w:rPr>
          <w:sz w:val="20"/>
          <w:szCs w:val="20"/>
          <w:highlight w:val="none"/>
          <w:lang w:eastAsia="zh-CN"/>
        </w:rPr>
        <w:t>:</w:t>
      </w:r>
    </w:p>
    <w:p w14:paraId="1F0A4483">
      <w:pPr>
        <w:pStyle w:val="70"/>
        <w:numPr>
          <w:ilvl w:val="0"/>
          <w:numId w:val="11"/>
        </w:numPr>
        <w:overflowPunct w:val="0"/>
        <w:autoSpaceDE w:val="0"/>
        <w:autoSpaceDN w:val="0"/>
        <w:adjustRightInd w:val="0"/>
        <w:snapToGrid w:val="0"/>
        <w:spacing w:after="120"/>
        <w:textAlignment w:val="baseline"/>
        <w:rPr>
          <w:sz w:val="20"/>
          <w:szCs w:val="20"/>
          <w:highlight w:val="none"/>
          <w:lang w:val="en-US"/>
        </w:rPr>
      </w:pPr>
      <w:r>
        <w:rPr>
          <w:sz w:val="20"/>
          <w:szCs w:val="20"/>
          <w:highlight w:val="none"/>
        </w:rPr>
        <w:t xml:space="preserve">6 dB in FR1 for reselections based on ranking or </w:t>
      </w:r>
    </w:p>
    <w:p w14:paraId="695D1E72">
      <w:pPr>
        <w:pStyle w:val="70"/>
        <w:numPr>
          <w:ilvl w:val="0"/>
          <w:numId w:val="11"/>
        </w:numPr>
        <w:overflowPunct w:val="0"/>
        <w:autoSpaceDE w:val="0"/>
        <w:autoSpaceDN w:val="0"/>
        <w:adjustRightInd w:val="0"/>
        <w:snapToGrid w:val="0"/>
        <w:spacing w:after="120"/>
        <w:textAlignment w:val="baseline"/>
        <w:rPr>
          <w:sz w:val="20"/>
          <w:szCs w:val="20"/>
          <w:highlight w:val="none"/>
          <w:lang w:val="en-US"/>
        </w:rPr>
      </w:pPr>
      <w:r>
        <w:rPr>
          <w:rFonts w:eastAsia="MS Mincho"/>
          <w:sz w:val="20"/>
          <w:szCs w:val="20"/>
          <w:highlight w:val="none"/>
        </w:rPr>
        <w:t xml:space="preserve">7 dB in FR1 for SS-RSRP reselections based on absolute priorities or </w:t>
      </w:r>
    </w:p>
    <w:p w14:paraId="5A1699FA">
      <w:pPr>
        <w:pStyle w:val="70"/>
        <w:numPr>
          <w:ilvl w:val="0"/>
          <w:numId w:val="11"/>
        </w:numPr>
        <w:overflowPunct w:val="0"/>
        <w:autoSpaceDE w:val="0"/>
        <w:autoSpaceDN w:val="0"/>
        <w:adjustRightInd w:val="0"/>
        <w:snapToGrid w:val="0"/>
        <w:spacing w:after="120"/>
        <w:textAlignment w:val="baseline"/>
        <w:rPr>
          <w:sz w:val="20"/>
          <w:szCs w:val="20"/>
          <w:highlight w:val="none"/>
          <w:lang w:val="en-US"/>
        </w:rPr>
      </w:pPr>
      <w:r>
        <w:rPr>
          <w:rFonts w:eastAsia="MS Mincho"/>
          <w:sz w:val="20"/>
          <w:szCs w:val="20"/>
          <w:highlight w:val="none"/>
        </w:rPr>
        <w:t>5 dB in FR1 for SS-RSRQ reselections based on absolute priorities.</w:t>
      </w:r>
    </w:p>
    <w:p w14:paraId="2C2DA2D0">
      <w:pPr>
        <w:pStyle w:val="29"/>
        <w:numPr>
          <w:ilvl w:val="2"/>
          <w:numId w:val="6"/>
        </w:numPr>
        <w:snapToGrid w:val="0"/>
        <w:ind w:hanging="357"/>
        <w:rPr>
          <w:iCs/>
          <w:sz w:val="20"/>
          <w:szCs w:val="20"/>
          <w:highlight w:val="none"/>
        </w:rPr>
      </w:pPr>
      <w:r>
        <w:rPr>
          <w:iCs/>
          <w:sz w:val="20"/>
          <w:szCs w:val="20"/>
          <w:highlight w:val="none"/>
        </w:rPr>
        <w:t>RAN4 to reduce the number of NR inter-frequency carriers that UE shall at least be capable of monitoring.</w:t>
      </w:r>
    </w:p>
    <w:p w14:paraId="220D64F0">
      <w:pPr>
        <w:pStyle w:val="29"/>
        <w:numPr>
          <w:ilvl w:val="3"/>
          <w:numId w:val="6"/>
        </w:numPr>
        <w:snapToGrid w:val="0"/>
        <w:ind w:hanging="357"/>
        <w:rPr>
          <w:iCs/>
          <w:sz w:val="20"/>
          <w:szCs w:val="20"/>
          <w:highlight w:val="none"/>
        </w:rPr>
      </w:pPr>
      <w:r>
        <w:rPr>
          <w:iCs/>
          <w:sz w:val="20"/>
          <w:szCs w:val="20"/>
          <w:highlight w:val="none"/>
        </w:rPr>
        <w:t>6 NR inter-frequency carriers can be reused.</w:t>
      </w:r>
    </w:p>
    <w:p w14:paraId="08DD9C5C">
      <w:pPr>
        <w:pStyle w:val="29"/>
        <w:numPr>
          <w:ilvl w:val="2"/>
          <w:numId w:val="6"/>
        </w:numPr>
        <w:snapToGrid w:val="0"/>
        <w:ind w:hanging="357"/>
        <w:rPr>
          <w:sz w:val="20"/>
          <w:szCs w:val="20"/>
          <w:highlight w:val="none"/>
        </w:rPr>
      </w:pPr>
      <w:r>
        <w:rPr>
          <w:sz w:val="20"/>
          <w:szCs w:val="20"/>
          <w:highlight w:val="none"/>
        </w:rPr>
        <w:t>The parameters of N</w:t>
      </w:r>
      <w:r>
        <w:rPr>
          <w:sz w:val="20"/>
          <w:szCs w:val="20"/>
          <w:highlight w:val="none"/>
          <w:vertAlign w:val="subscript"/>
        </w:rPr>
        <w:t>serv_RedCap</w:t>
      </w:r>
      <w:r>
        <w:rPr>
          <w:sz w:val="20"/>
          <w:szCs w:val="20"/>
          <w:highlight w:val="none"/>
        </w:rPr>
        <w:t>, T</w:t>
      </w:r>
      <w:r>
        <w:rPr>
          <w:sz w:val="20"/>
          <w:szCs w:val="20"/>
          <w:highlight w:val="none"/>
          <w:vertAlign w:val="subscript"/>
        </w:rPr>
        <w:t>detect,NR_Intra/Inter_RedCap</w:t>
      </w:r>
      <w:r>
        <w:rPr>
          <w:sz w:val="20"/>
          <w:szCs w:val="20"/>
          <w:highlight w:val="none"/>
        </w:rPr>
        <w:t>, T</w:t>
      </w:r>
      <w:r>
        <w:rPr>
          <w:sz w:val="20"/>
          <w:szCs w:val="20"/>
          <w:highlight w:val="none"/>
          <w:vertAlign w:val="subscript"/>
        </w:rPr>
        <w:t>measure,NR_Intra/Inter_RedCap</w:t>
      </w:r>
      <w:r>
        <w:rPr>
          <w:sz w:val="20"/>
          <w:szCs w:val="20"/>
          <w:highlight w:val="none"/>
        </w:rPr>
        <w:t xml:space="preserve"> and T</w:t>
      </w:r>
      <w:r>
        <w:rPr>
          <w:sz w:val="20"/>
          <w:szCs w:val="20"/>
          <w:highlight w:val="none"/>
          <w:vertAlign w:val="subscript"/>
        </w:rPr>
        <w:t xml:space="preserve">evaluate,NR_Intra/Inter_RedCap </w:t>
      </w:r>
      <w:r>
        <w:rPr>
          <w:sz w:val="20"/>
          <w:szCs w:val="20"/>
          <w:highlight w:val="none"/>
        </w:rPr>
        <w:t>defined for cell re-selection requirements will be not distinguished between 1Rx and 2 Rx (e)RedCap UE, and the requirements for both will be the same.</w:t>
      </w:r>
    </w:p>
    <w:p w14:paraId="67143BA3">
      <w:pPr>
        <w:pStyle w:val="29"/>
        <w:numPr>
          <w:ilvl w:val="2"/>
          <w:numId w:val="6"/>
        </w:numPr>
        <w:snapToGrid w:val="0"/>
        <w:ind w:hanging="357"/>
        <w:rPr>
          <w:sz w:val="20"/>
          <w:szCs w:val="20"/>
          <w:highlight w:val="none"/>
        </w:rPr>
      </w:pPr>
      <w:r>
        <w:rPr>
          <w:iCs/>
          <w:sz w:val="20"/>
          <w:szCs w:val="20"/>
          <w:highlight w:val="none"/>
        </w:rPr>
        <w:t xml:space="preserve">For SDT requirements, +1 dB offset on the threshold of </w:t>
      </w:r>
      <w:r>
        <w:rPr>
          <w:i/>
          <w:iCs/>
          <w:sz w:val="20"/>
          <w:szCs w:val="20"/>
          <w:highlight w:val="none"/>
        </w:rPr>
        <w:t>sdt-RSRP-Threshold-r17</w:t>
      </w:r>
      <w:r>
        <w:rPr>
          <w:iCs/>
          <w:sz w:val="20"/>
          <w:szCs w:val="20"/>
          <w:highlight w:val="none"/>
        </w:rPr>
        <w:t xml:space="preserve"> for 1 Rx RedCap UE.</w:t>
      </w:r>
    </w:p>
    <w:p w14:paraId="3116461F">
      <w:pPr>
        <w:pStyle w:val="29"/>
        <w:numPr>
          <w:ilvl w:val="0"/>
          <w:numId w:val="0"/>
        </w:numPr>
        <w:snapToGrid w:val="0"/>
        <w:ind w:left="2019" w:leftChars="0"/>
        <w:rPr>
          <w:sz w:val="20"/>
          <w:szCs w:val="20"/>
          <w:highlight w:val="none"/>
        </w:rPr>
      </w:pPr>
    </w:p>
    <w:p w14:paraId="31C66914">
      <w:pPr>
        <w:pStyle w:val="29"/>
        <w:numPr>
          <w:ilvl w:val="1"/>
          <w:numId w:val="6"/>
        </w:numPr>
        <w:snapToGrid w:val="0"/>
        <w:spacing w:after="120"/>
        <w:ind w:left="1655" w:hanging="357"/>
        <w:contextualSpacing w:val="0"/>
        <w:rPr>
          <w:iCs/>
          <w:sz w:val="20"/>
          <w:szCs w:val="20"/>
          <w:highlight w:val="none"/>
        </w:rPr>
      </w:pPr>
      <w:r>
        <w:rPr>
          <w:iCs/>
          <w:sz w:val="20"/>
          <w:szCs w:val="20"/>
          <w:highlight w:val="none"/>
        </w:rPr>
        <w:t>Define the enhanced cell reselection measurement requirements for 1Rx and 2Rx (e)RedCap UE with FR1-NTN bands.</w:t>
      </w:r>
    </w:p>
    <w:p w14:paraId="1DB2B185">
      <w:pPr>
        <w:pStyle w:val="29"/>
        <w:numPr>
          <w:ilvl w:val="2"/>
          <w:numId w:val="6"/>
        </w:numPr>
        <w:spacing w:before="120"/>
        <w:ind w:hanging="357"/>
        <w:contextualSpacing w:val="0"/>
        <w:rPr>
          <w:rFonts w:ascii="Times New Roman" w:hAnsi="Times New Roman" w:cs="Times New Roman" w:eastAsiaTheme="minorEastAsia"/>
          <w:iCs/>
          <w:sz w:val="20"/>
          <w:szCs w:val="20"/>
          <w:highlight w:val="none"/>
        </w:rPr>
      </w:pPr>
      <w:r>
        <w:rPr>
          <w:rFonts w:hint="eastAsia" w:cs="Times New Roman" w:eastAsiaTheme="minorEastAsia"/>
          <w:iCs/>
          <w:sz w:val="20"/>
          <w:szCs w:val="20"/>
          <w:highlight w:val="none"/>
          <w:lang w:val="en-US" w:eastAsia="zh-CN"/>
        </w:rPr>
        <w:t>FFS:</w:t>
      </w:r>
      <w:r>
        <w:rPr>
          <w:rFonts w:hint="eastAsia" w:ascii="Times New Roman" w:hAnsi="Times New Roman" w:cs="Times New Roman" w:eastAsiaTheme="minorEastAsia"/>
          <w:iCs/>
          <w:sz w:val="20"/>
          <w:szCs w:val="20"/>
          <w:highlight w:val="none"/>
        </w:rPr>
        <w:t xml:space="preserve"> </w:t>
      </w:r>
      <w:r>
        <w:rPr>
          <w:rFonts w:hint="eastAsia" w:cs="Times New Roman" w:eastAsiaTheme="minorEastAsia"/>
          <w:iCs/>
          <w:sz w:val="20"/>
          <w:szCs w:val="20"/>
          <w:highlight w:val="none"/>
          <w:lang w:val="en-US" w:eastAsia="zh-CN"/>
        </w:rPr>
        <w:t>H</w:t>
      </w:r>
      <w:r>
        <w:rPr>
          <w:rFonts w:hint="eastAsia" w:ascii="Times New Roman" w:hAnsi="Times New Roman" w:cs="Times New Roman" w:eastAsiaTheme="minorEastAsia"/>
          <w:iCs/>
          <w:sz w:val="20"/>
          <w:szCs w:val="20"/>
          <w:highlight w:val="none"/>
        </w:rPr>
        <w:t xml:space="preserve">ow to define the </w:t>
      </w:r>
      <w:bookmarkStart w:id="18" w:name="OLE_LINK55"/>
      <w:bookmarkStart w:id="19" w:name="OLE_LINK54"/>
      <w:r>
        <w:rPr>
          <w:rFonts w:ascii="Times New Roman" w:hAnsi="Times New Roman" w:cs="Times New Roman" w:eastAsiaTheme="minorEastAsia"/>
          <w:iCs/>
          <w:sz w:val="20"/>
          <w:szCs w:val="20"/>
          <w:highlight w:val="none"/>
        </w:rPr>
        <w:t xml:space="preserve">enhanced cell reselection </w:t>
      </w:r>
      <w:bookmarkEnd w:id="18"/>
      <w:bookmarkEnd w:id="19"/>
      <w:r>
        <w:rPr>
          <w:rFonts w:ascii="Times New Roman" w:hAnsi="Times New Roman" w:cs="Times New Roman" w:eastAsiaTheme="minorEastAsia"/>
          <w:iCs/>
          <w:sz w:val="20"/>
          <w:szCs w:val="20"/>
          <w:highlight w:val="none"/>
        </w:rPr>
        <w:t xml:space="preserve">measurement </w:t>
      </w:r>
      <w:r>
        <w:rPr>
          <w:rFonts w:ascii="Times New Roman" w:hAnsi="Times New Roman" w:cs="Times New Roman"/>
          <w:sz w:val="20"/>
          <w:szCs w:val="20"/>
          <w:highlight w:val="none"/>
        </w:rPr>
        <w:t xml:space="preserve">requirements </w:t>
      </w:r>
      <w:r>
        <w:rPr>
          <w:rFonts w:ascii="Times New Roman" w:hAnsi="Times New Roman" w:cs="Times New Roman" w:eastAsiaTheme="minorEastAsia"/>
          <w:iCs/>
          <w:sz w:val="20"/>
          <w:szCs w:val="20"/>
          <w:highlight w:val="none"/>
        </w:rPr>
        <w:t>for 1R</w:t>
      </w:r>
      <w:r>
        <w:rPr>
          <w:rFonts w:hint="eastAsia" w:ascii="Times New Roman" w:hAnsi="Times New Roman" w:cs="Times New Roman" w:eastAsiaTheme="minorEastAsia"/>
          <w:iCs/>
          <w:sz w:val="20"/>
          <w:szCs w:val="20"/>
          <w:highlight w:val="none"/>
        </w:rPr>
        <w:t>x and 2Rx</w:t>
      </w:r>
      <w:r>
        <w:rPr>
          <w:rFonts w:ascii="Times New Roman" w:hAnsi="Times New Roman" w:cs="Times New Roman" w:eastAsiaTheme="minorEastAsia"/>
          <w:iCs/>
          <w:sz w:val="20"/>
          <w:szCs w:val="20"/>
          <w:highlight w:val="none"/>
        </w:rPr>
        <w:t xml:space="preserve"> (e)Red</w:t>
      </w:r>
      <w:r>
        <w:rPr>
          <w:rFonts w:hint="eastAsia" w:ascii="Times New Roman" w:hAnsi="Times New Roman" w:cs="Times New Roman" w:eastAsiaTheme="minorEastAsia"/>
          <w:iCs/>
          <w:sz w:val="20"/>
          <w:szCs w:val="20"/>
          <w:highlight w:val="none"/>
        </w:rPr>
        <w:t>C</w:t>
      </w:r>
      <w:r>
        <w:rPr>
          <w:rFonts w:ascii="Times New Roman" w:hAnsi="Times New Roman" w:cs="Times New Roman" w:eastAsiaTheme="minorEastAsia"/>
          <w:iCs/>
          <w:sz w:val="20"/>
          <w:szCs w:val="20"/>
          <w:highlight w:val="none"/>
        </w:rPr>
        <w:t>ap UE with FR1-NTN bands.</w:t>
      </w:r>
    </w:p>
    <w:p w14:paraId="001A6BD5">
      <w:pPr>
        <w:pStyle w:val="29"/>
        <w:numPr>
          <w:ilvl w:val="1"/>
          <w:numId w:val="6"/>
        </w:numPr>
        <w:snapToGrid w:val="0"/>
        <w:spacing w:after="120"/>
        <w:ind w:left="1655" w:hanging="357"/>
        <w:contextualSpacing w:val="0"/>
        <w:rPr>
          <w:rFonts w:ascii="Times New Roman" w:hAnsi="Times New Roman" w:cs="Times New Roman" w:eastAsiaTheme="minorEastAsia"/>
          <w:iCs/>
          <w:sz w:val="20"/>
          <w:szCs w:val="20"/>
          <w:highlight w:val="none"/>
        </w:rPr>
      </w:pPr>
      <w:r>
        <w:rPr>
          <w:rFonts w:hint="eastAsia" w:cs="Times New Roman" w:eastAsiaTheme="minorEastAsia"/>
          <w:iCs/>
          <w:sz w:val="20"/>
          <w:szCs w:val="20"/>
          <w:highlight w:val="none"/>
          <w:lang w:val="en-US" w:eastAsia="zh-CN"/>
        </w:rPr>
        <w:t xml:space="preserve">FFS: </w:t>
      </w:r>
      <w:r>
        <w:rPr>
          <w:rFonts w:ascii="Times New Roman" w:hAnsi="Times New Roman" w:cs="Times New Roman" w:eastAsiaTheme="minorEastAsia"/>
          <w:iCs/>
          <w:sz w:val="20"/>
          <w:szCs w:val="20"/>
          <w:highlight w:val="none"/>
        </w:rPr>
        <w:t xml:space="preserve">RAN4 to </w:t>
      </w:r>
      <w:r>
        <w:rPr>
          <w:rFonts w:hint="eastAsia" w:cs="Times New Roman" w:eastAsiaTheme="minorEastAsia"/>
          <w:iCs/>
          <w:sz w:val="20"/>
          <w:szCs w:val="20"/>
          <w:highlight w:val="none"/>
          <w:lang w:val="en-US" w:eastAsia="zh-CN"/>
        </w:rPr>
        <w:t xml:space="preserve">further </w:t>
      </w:r>
      <w:r>
        <w:rPr>
          <w:rFonts w:ascii="Times New Roman" w:hAnsi="Times New Roman" w:cs="Times New Roman" w:eastAsiaTheme="minorEastAsia"/>
          <w:iCs/>
          <w:sz w:val="20"/>
          <w:szCs w:val="20"/>
          <w:highlight w:val="none"/>
        </w:rPr>
        <w:t>discuss</w:t>
      </w:r>
      <w:r>
        <w:rPr>
          <w:rFonts w:hint="eastAsia" w:ascii="Times New Roman" w:hAnsi="Times New Roman" w:cs="Times New Roman" w:eastAsiaTheme="minorEastAsia"/>
          <w:iCs/>
          <w:sz w:val="20"/>
          <w:szCs w:val="20"/>
          <w:highlight w:val="none"/>
        </w:rPr>
        <w:t xml:space="preserve"> </w:t>
      </w:r>
      <w:r>
        <w:rPr>
          <w:rFonts w:hint="eastAsia" w:cs="Times New Roman" w:eastAsiaTheme="minorEastAsia"/>
          <w:iCs/>
          <w:sz w:val="20"/>
          <w:szCs w:val="20"/>
          <w:highlight w:val="none"/>
          <w:lang w:val="en-US" w:eastAsia="zh-CN"/>
        </w:rPr>
        <w:t xml:space="preserve">how to define </w:t>
      </w:r>
      <w:r>
        <w:rPr>
          <w:rFonts w:hint="eastAsia" w:ascii="Times New Roman" w:hAnsi="Times New Roman" w:cs="Times New Roman" w:eastAsiaTheme="minorEastAsia"/>
          <w:iCs/>
          <w:sz w:val="20"/>
          <w:szCs w:val="20"/>
          <w:highlight w:val="none"/>
        </w:rPr>
        <w:t xml:space="preserve">the </w:t>
      </w:r>
      <w:r>
        <w:rPr>
          <w:rFonts w:ascii="Times New Roman" w:hAnsi="Times New Roman" w:cs="Times New Roman" w:eastAsiaTheme="minorEastAsia"/>
          <w:iCs/>
          <w:sz w:val="20"/>
          <w:szCs w:val="20"/>
          <w:highlight w:val="none"/>
        </w:rPr>
        <w:t>cell re</w:t>
      </w:r>
      <w:r>
        <w:rPr>
          <w:rFonts w:hint="eastAsia" w:cs="Times New Roman" w:eastAsiaTheme="minorEastAsia"/>
          <w:iCs/>
          <w:sz w:val="20"/>
          <w:szCs w:val="20"/>
          <w:highlight w:val="none"/>
          <w:lang w:val="en-US" w:eastAsia="zh-CN"/>
        </w:rPr>
        <w:t>-</w:t>
      </w:r>
      <w:r>
        <w:rPr>
          <w:rFonts w:ascii="Times New Roman" w:hAnsi="Times New Roman" w:cs="Times New Roman" w:eastAsiaTheme="minorEastAsia"/>
          <w:iCs/>
          <w:sz w:val="20"/>
          <w:szCs w:val="20"/>
          <w:highlight w:val="none"/>
        </w:rPr>
        <w:t xml:space="preserve">selection </w:t>
      </w:r>
      <w:r>
        <w:rPr>
          <w:rFonts w:ascii="Times New Roman" w:hAnsi="Times New Roman" w:cs="Times New Roman"/>
          <w:sz w:val="20"/>
          <w:szCs w:val="20"/>
          <w:highlight w:val="none"/>
        </w:rPr>
        <w:t>measurement</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requirements of inter-RAT E-UTRAN cells</w:t>
      </w:r>
      <w:r>
        <w:rPr>
          <w:rFonts w:hint="eastAsia" w:ascii="Times New Roman" w:hAnsi="Times New Roman" w:cs="Times New Roman"/>
          <w:sz w:val="20"/>
          <w:szCs w:val="20"/>
          <w:highlight w:val="none"/>
        </w:rPr>
        <w:t xml:space="preserve"> with TN carrier for </w:t>
      </w:r>
      <w:r>
        <w:rPr>
          <w:rFonts w:ascii="Times New Roman" w:hAnsi="Times New Roman" w:cs="Times New Roman"/>
          <w:sz w:val="20"/>
          <w:szCs w:val="20"/>
          <w:highlight w:val="none"/>
        </w:rPr>
        <w:t>1Rx and 2 Rx (e)RedCap UE</w:t>
      </w:r>
      <w:r>
        <w:rPr>
          <w:rFonts w:hint="eastAsia" w:ascii="Times New Roman" w:hAnsi="Times New Roman" w:cs="Times New Roman"/>
          <w:sz w:val="20"/>
          <w:szCs w:val="20"/>
          <w:highlight w:val="none"/>
        </w:rPr>
        <w:t xml:space="preserve"> after issue1-1-1.</w:t>
      </w:r>
    </w:p>
    <w:p w14:paraId="1184C6BD">
      <w:pPr>
        <w:snapToGrid w:val="0"/>
        <w:spacing w:after="120"/>
        <w:rPr>
          <w:rFonts w:ascii="Times New Roman" w:hAnsi="Times New Roman" w:cs="Times New Roman" w:eastAsiaTheme="minorEastAsia"/>
          <w:i/>
          <w:iCs/>
          <w:color w:val="0070C0"/>
          <w:sz w:val="20"/>
          <w:szCs w:val="20"/>
          <w:highlight w:val="none"/>
        </w:rPr>
      </w:pPr>
    </w:p>
    <w:p w14:paraId="7CEE5671">
      <w:pPr>
        <w:spacing w:before="240" w:after="240"/>
        <w:rPr>
          <w:rFonts w:ascii="Times New Roman" w:hAnsi="Times New Roman" w:cs="Times New Roman"/>
          <w:b/>
          <w:bCs/>
          <w:sz w:val="22"/>
          <w:szCs w:val="16"/>
        </w:rPr>
      </w:pPr>
      <w:r>
        <w:rPr>
          <w:rFonts w:hint="eastAsia" w:ascii="Times New Roman" w:hAnsi="Times New Roman" w:cs="Times New Roman"/>
          <w:b/>
          <w:bCs/>
          <w:sz w:val="22"/>
          <w:szCs w:val="16"/>
        </w:rPr>
        <w:t xml:space="preserve">2. </w:t>
      </w:r>
      <w:r>
        <w:rPr>
          <w:rFonts w:ascii="Times New Roman" w:hAnsi="Times New Roman" w:cs="Times New Roman"/>
          <w:b/>
          <w:bCs/>
          <w:sz w:val="22"/>
          <w:szCs w:val="16"/>
        </w:rPr>
        <w:t>RRC_CONNECTED mode mobility</w:t>
      </w:r>
    </w:p>
    <w:p w14:paraId="592C5859">
      <w:pPr>
        <w:spacing w:before="240" w:after="240"/>
        <w:rPr>
          <w:rFonts w:ascii="Times New Roman" w:hAnsi="Times New Roman" w:cs="Times New Roman"/>
          <w:b/>
          <w:bCs/>
          <w:sz w:val="22"/>
          <w:szCs w:val="16"/>
        </w:rPr>
      </w:pPr>
      <w:r>
        <w:rPr>
          <w:rFonts w:hint="eastAsia" w:ascii="Times New Roman" w:hAnsi="Times New Roman" w:cs="Times New Roman"/>
          <w:b/>
          <w:bCs/>
          <w:sz w:val="22"/>
          <w:szCs w:val="16"/>
        </w:rPr>
        <w:t>2.1 Handover</w:t>
      </w:r>
    </w:p>
    <w:p w14:paraId="0B503AFA">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w:t>
      </w:r>
      <w:r>
        <w:rPr>
          <w:rFonts w:hint="eastAsia" w:ascii="Times New Roman" w:hAnsi="Times New Roman" w:cs="Times New Roman"/>
          <w:sz w:val="20"/>
          <w:u w:val="single"/>
          <w:lang w:eastAsia="ko-KR"/>
        </w:rPr>
        <w:t>2</w:t>
      </w:r>
      <w:r>
        <w:rPr>
          <w:rFonts w:ascii="Times New Roman" w:hAnsi="Times New Roman" w:cs="Times New Roman"/>
          <w:sz w:val="20"/>
          <w:u w:val="single"/>
          <w:lang w:eastAsia="ko-KR"/>
        </w:rPr>
        <w:t>: RAC</w:t>
      </w:r>
      <w:r>
        <w:rPr>
          <w:rFonts w:ascii="Times New Roman" w:hAnsi="Times New Roman" w:cs="Times New Roman"/>
          <w:sz w:val="20"/>
          <w:u w:val="single"/>
        </w:rPr>
        <w:t>H-based</w:t>
      </w:r>
      <w:r>
        <w:rPr>
          <w:rFonts w:hint="eastAsia" w:ascii="Times New Roman" w:hAnsi="Times New Roman" w:cs="Times New Roman"/>
          <w:sz w:val="20"/>
          <w:u w:val="single"/>
        </w:rPr>
        <w:t xml:space="preserve"> HO requirements </w:t>
      </w:r>
      <w:r>
        <w:rPr>
          <w:rFonts w:ascii="Times New Roman" w:hAnsi="Times New Roman" w:cs="Times New Roman"/>
          <w:sz w:val="20"/>
          <w:u w:val="single"/>
          <w:lang w:eastAsia="ko-KR"/>
        </w:rPr>
        <w:t>for 1Rx/2Rx (e)RedCap UEs with FR1-NTN</w:t>
      </w:r>
    </w:p>
    <w:p w14:paraId="5239002C">
      <w:pPr>
        <w:rPr>
          <w:lang w:eastAsia="ko-KR"/>
        </w:rPr>
      </w:pPr>
      <w:r>
        <w:rPr>
          <w:rFonts w:hint="eastAsia" w:cs="Times New Roman"/>
          <w:i/>
          <w:iCs/>
          <w:color w:val="0070C0"/>
          <w:sz w:val="20"/>
          <w:u w:val="none"/>
          <w:lang w:val="en-US" w:eastAsia="zh-CN"/>
        </w:rPr>
        <w:t>Online agreement</w:t>
      </w:r>
    </w:p>
    <w:p w14:paraId="4BDD3FC4">
      <w:pPr>
        <w:snapToGrid w:val="0"/>
        <w:spacing w:after="120"/>
        <w:rPr>
          <w:rFonts w:ascii="Times New Roman" w:hAnsi="Times New Roman" w:cs="Times New Roman" w:eastAsiaTheme="minorEastAsia"/>
          <w:iCs/>
          <w:color w:val="0070C0"/>
          <w:sz w:val="20"/>
          <w:szCs w:val="20"/>
        </w:rPr>
      </w:pPr>
      <w:r>
        <w:rPr>
          <w:b/>
          <w:szCs w:val="24"/>
          <w:highlight w:val="green"/>
          <w:lang w:eastAsia="zh-CN"/>
        </w:rPr>
        <w:t>&lt; Agreement &gt;</w:t>
      </w:r>
      <w:r>
        <w:rPr>
          <w:rFonts w:hint="eastAsia"/>
          <w:b/>
          <w:szCs w:val="24"/>
          <w:highlight w:val="green"/>
          <w:lang w:val="en-US" w:eastAsia="zh-CN"/>
        </w:rPr>
        <w:t>:</w:t>
      </w:r>
    </w:p>
    <w:p w14:paraId="4D7E9233">
      <w:pPr>
        <w:pStyle w:val="29"/>
        <w:numPr>
          <w:ilvl w:val="1"/>
          <w:numId w:val="6"/>
        </w:numPr>
        <w:spacing w:after="120"/>
        <w:ind w:left="1655" w:hanging="357"/>
        <w:contextualSpacing w:val="0"/>
        <w:rPr>
          <w:szCs w:val="21"/>
          <w:highlight w:val="none"/>
        </w:rPr>
      </w:pPr>
      <w:r>
        <w:rPr>
          <w:szCs w:val="21"/>
          <w:highlight w:val="none"/>
        </w:rPr>
        <w:t xml:space="preserve">For NR </w:t>
      </w:r>
      <w:r>
        <w:rPr>
          <w:iCs/>
          <w:szCs w:val="21"/>
          <w:highlight w:val="none"/>
        </w:rPr>
        <w:t>RACH-based</w:t>
      </w:r>
      <w:r>
        <w:rPr>
          <w:szCs w:val="21"/>
          <w:highlight w:val="none"/>
        </w:rPr>
        <w:t xml:space="preserve"> HO requirements,</w:t>
      </w:r>
    </w:p>
    <w:p w14:paraId="42F2FAD1">
      <w:pPr>
        <w:pStyle w:val="29"/>
        <w:numPr>
          <w:ilvl w:val="2"/>
          <w:numId w:val="6"/>
        </w:numPr>
        <w:snapToGrid w:val="0"/>
        <w:rPr>
          <w:iCs/>
          <w:szCs w:val="21"/>
          <w:highlight w:val="none"/>
        </w:rPr>
      </w:pPr>
      <w:r>
        <w:rPr>
          <w:iCs/>
          <w:szCs w:val="21"/>
          <w:highlight w:val="none"/>
        </w:rPr>
        <w:t>For 2Rx (e)RedCap UEs with FR1-NTN bands, reuse the legacy FR1-NTN RACH-based HO requirements for normal UEs.</w:t>
      </w:r>
    </w:p>
    <w:p w14:paraId="47AEF258">
      <w:pPr>
        <w:pStyle w:val="29"/>
        <w:numPr>
          <w:ilvl w:val="2"/>
          <w:numId w:val="6"/>
        </w:numPr>
        <w:snapToGrid w:val="0"/>
        <w:rPr>
          <w:szCs w:val="21"/>
          <w:highlight w:val="none"/>
        </w:rPr>
      </w:pPr>
      <w:r>
        <w:rPr>
          <w:iCs/>
          <w:szCs w:val="21"/>
          <w:highlight w:val="none"/>
        </w:rPr>
        <w:t xml:space="preserve">For 1Rx (e)RedCap UEs with FR1-NTN bands, RACH-based </w:t>
      </w:r>
      <w:r>
        <w:rPr>
          <w:szCs w:val="21"/>
          <w:highlight w:val="none"/>
        </w:rPr>
        <w:t>handover delays should be extended compared to those defined for 2Rx (e)RedCap UEs.</w:t>
      </w:r>
    </w:p>
    <w:p w14:paraId="1D996FA1">
      <w:pPr>
        <w:pStyle w:val="29"/>
        <w:keepNext w:val="0"/>
        <w:keepLines w:val="0"/>
        <w:pageBreakBefore w:val="0"/>
        <w:widowControl/>
        <w:numPr>
          <w:ilvl w:val="3"/>
          <w:numId w:val="6"/>
        </w:numPr>
        <w:kinsoku/>
        <w:wordWrap/>
        <w:overflowPunct/>
        <w:topLinePunct w:val="0"/>
        <w:autoSpaceDE/>
        <w:autoSpaceDN/>
        <w:bidi w:val="0"/>
        <w:adjustRightInd/>
        <w:snapToGrid/>
        <w:spacing w:after="0"/>
        <w:ind w:left="2920" w:hanging="181"/>
        <w:contextualSpacing w:val="0"/>
        <w:textAlignment w:val="auto"/>
        <w:rPr>
          <w:szCs w:val="21"/>
          <w:highlight w:val="none"/>
        </w:rPr>
      </w:pPr>
      <w:r>
        <w:rPr>
          <w:szCs w:val="21"/>
          <w:highlight w:val="none"/>
        </w:rPr>
        <w:t>Define the relaxation on T</w:t>
      </w:r>
      <w:r>
        <w:rPr>
          <w:szCs w:val="21"/>
          <w:highlight w:val="none"/>
          <w:vertAlign w:val="subscript"/>
        </w:rPr>
        <w:t>search</w:t>
      </w:r>
      <w:r>
        <w:rPr>
          <w:szCs w:val="21"/>
          <w:highlight w:val="none"/>
        </w:rPr>
        <w:t xml:space="preserve"> for unknown intra/inter-frequency cell, and the same relaxation for 1 Rx RedCap UE in TN network can be reused.</w:t>
      </w:r>
    </w:p>
    <w:p w14:paraId="7757A10D">
      <w:pPr>
        <w:pStyle w:val="29"/>
        <w:numPr>
          <w:ilvl w:val="0"/>
          <w:numId w:val="12"/>
        </w:numPr>
        <w:snapToGrid w:val="0"/>
        <w:rPr>
          <w:szCs w:val="21"/>
          <w:highlight w:val="none"/>
        </w:rPr>
      </w:pPr>
      <w:r>
        <w:rPr>
          <w:iCs/>
          <w:szCs w:val="21"/>
          <w:highlight w:val="none"/>
        </w:rPr>
        <w:t>Relax by 1 sample:</w:t>
      </w:r>
      <w:r>
        <w:rPr>
          <w:rFonts w:eastAsia="Calibri"/>
          <w:szCs w:val="21"/>
          <w:highlight w:val="none"/>
          <w:lang w:eastAsia="en-US"/>
        </w:rPr>
        <w:t xml:space="preserve"> T</w:t>
      </w:r>
      <w:r>
        <w:rPr>
          <w:rFonts w:eastAsia="Calibri"/>
          <w:szCs w:val="21"/>
          <w:highlight w:val="none"/>
          <w:vertAlign w:val="subscript"/>
          <w:lang w:eastAsia="en-US"/>
        </w:rPr>
        <w:t xml:space="preserve">search </w:t>
      </w:r>
      <w:r>
        <w:rPr>
          <w:rFonts w:eastAsia="Calibri"/>
          <w:szCs w:val="21"/>
          <w:highlight w:val="none"/>
          <w:lang w:eastAsia="en-US"/>
        </w:rPr>
        <w:t>= 2*T</w:t>
      </w:r>
      <w:r>
        <w:rPr>
          <w:rFonts w:eastAsia="Calibri"/>
          <w:szCs w:val="21"/>
          <w:highlight w:val="none"/>
          <w:vertAlign w:val="subscript"/>
          <w:lang w:eastAsia="en-US"/>
        </w:rPr>
        <w:t>rs</w:t>
      </w:r>
      <w:r>
        <w:rPr>
          <w:rFonts w:eastAsia="Calibri"/>
          <w:szCs w:val="21"/>
          <w:highlight w:val="none"/>
          <w:lang w:eastAsia="en-US"/>
        </w:rPr>
        <w:t xml:space="preserve"> for intra-frequency HO</w:t>
      </w:r>
    </w:p>
    <w:p w14:paraId="1A074DF1">
      <w:pPr>
        <w:pStyle w:val="29"/>
        <w:numPr>
          <w:ilvl w:val="0"/>
          <w:numId w:val="12"/>
        </w:numPr>
        <w:snapToGrid w:val="0"/>
        <w:rPr>
          <w:szCs w:val="21"/>
          <w:highlight w:val="none"/>
        </w:rPr>
      </w:pPr>
      <w:r>
        <w:rPr>
          <w:iCs/>
          <w:szCs w:val="21"/>
          <w:highlight w:val="none"/>
        </w:rPr>
        <w:t>Relax by 2 samples:</w:t>
      </w:r>
      <w:r>
        <w:rPr>
          <w:rFonts w:eastAsia="Calibri"/>
          <w:szCs w:val="21"/>
          <w:highlight w:val="none"/>
          <w:lang w:eastAsia="en-US"/>
        </w:rPr>
        <w:t xml:space="preserve"> T</w:t>
      </w:r>
      <w:r>
        <w:rPr>
          <w:rFonts w:eastAsia="Calibri"/>
          <w:szCs w:val="21"/>
          <w:highlight w:val="none"/>
          <w:vertAlign w:val="subscript"/>
          <w:lang w:eastAsia="en-US"/>
        </w:rPr>
        <w:t>search</w:t>
      </w:r>
      <w:r>
        <w:rPr>
          <w:rFonts w:eastAsia="Calibri"/>
          <w:szCs w:val="21"/>
          <w:highlight w:val="none"/>
          <w:lang w:eastAsia="en-US"/>
        </w:rPr>
        <w:t xml:space="preserve"> = 5* T</w:t>
      </w:r>
      <w:r>
        <w:rPr>
          <w:rFonts w:eastAsia="Calibri"/>
          <w:szCs w:val="21"/>
          <w:highlight w:val="none"/>
          <w:vertAlign w:val="subscript"/>
          <w:lang w:eastAsia="en-US"/>
        </w:rPr>
        <w:t>rs</w:t>
      </w:r>
      <w:r>
        <w:rPr>
          <w:rFonts w:eastAsia="Calibri"/>
          <w:szCs w:val="21"/>
          <w:highlight w:val="none"/>
          <w:lang w:eastAsia="en-US"/>
        </w:rPr>
        <w:t xml:space="preserve"> for inter-frequency HO</w:t>
      </w:r>
    </w:p>
    <w:p w14:paraId="53F8AC9F"/>
    <w:p w14:paraId="0558DEF3">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1-3</w:t>
      </w:r>
      <w:r>
        <w:rPr>
          <w:rFonts w:ascii="Times New Roman" w:hAnsi="Times New Roman" w:cs="Times New Roman"/>
          <w:sz w:val="20"/>
          <w:u w:val="single"/>
          <w:lang w:eastAsia="ko-KR"/>
        </w:rPr>
        <w:t>: RAC</w:t>
      </w:r>
      <w:r>
        <w:rPr>
          <w:rFonts w:ascii="Times New Roman" w:hAnsi="Times New Roman" w:cs="Times New Roman"/>
          <w:sz w:val="20"/>
          <w:u w:val="single"/>
        </w:rPr>
        <w:t>H-</w:t>
      </w:r>
      <w:r>
        <w:rPr>
          <w:rFonts w:hint="eastAsia" w:ascii="Times New Roman" w:hAnsi="Times New Roman" w:cs="Times New Roman"/>
          <w:sz w:val="20"/>
          <w:u w:val="single"/>
        </w:rPr>
        <w:t xml:space="preserve">less HO requirements </w:t>
      </w:r>
      <w:r>
        <w:rPr>
          <w:rFonts w:ascii="Times New Roman" w:hAnsi="Times New Roman" w:cs="Times New Roman"/>
          <w:sz w:val="20"/>
          <w:u w:val="single"/>
          <w:lang w:eastAsia="ko-KR"/>
        </w:rPr>
        <w:t>for 1Rx/2Rx (e)RedCap UEs with FR1-NTN</w:t>
      </w:r>
    </w:p>
    <w:p w14:paraId="0BC362BD">
      <w:pPr>
        <w:rPr>
          <w:lang w:eastAsia="ko-KR"/>
        </w:rPr>
      </w:pPr>
      <w:r>
        <w:rPr>
          <w:rFonts w:hint="eastAsia" w:cs="Times New Roman"/>
          <w:i/>
          <w:iCs/>
          <w:color w:val="0070C0"/>
          <w:sz w:val="20"/>
          <w:u w:val="none"/>
          <w:lang w:val="en-US" w:eastAsia="zh-CN"/>
        </w:rPr>
        <w:t>Online agreement</w:t>
      </w:r>
    </w:p>
    <w:p w14:paraId="70F16E24">
      <w:pPr>
        <w:snapToGrid w:val="0"/>
        <w:spacing w:after="120"/>
        <w:rPr>
          <w:rFonts w:ascii="Times New Roman" w:hAnsi="Times New Roman" w:cs="Times New Roman" w:eastAsiaTheme="minorEastAsia"/>
          <w:iCs/>
          <w:color w:val="0070C0"/>
          <w:sz w:val="20"/>
          <w:szCs w:val="20"/>
        </w:rPr>
      </w:pPr>
      <w:r>
        <w:rPr>
          <w:b/>
          <w:szCs w:val="24"/>
          <w:highlight w:val="green"/>
          <w:lang w:eastAsia="zh-CN"/>
        </w:rPr>
        <w:t>&lt; Agreement &gt;</w:t>
      </w:r>
      <w:r>
        <w:rPr>
          <w:rFonts w:hint="eastAsia"/>
          <w:b/>
          <w:szCs w:val="24"/>
          <w:highlight w:val="green"/>
          <w:lang w:val="en-US" w:eastAsia="zh-CN"/>
        </w:rPr>
        <w:t>:</w:t>
      </w:r>
    </w:p>
    <w:p w14:paraId="310FAFD8">
      <w:pPr>
        <w:pStyle w:val="29"/>
        <w:numPr>
          <w:ilvl w:val="1"/>
          <w:numId w:val="6"/>
        </w:numPr>
        <w:spacing w:after="120"/>
        <w:ind w:left="1655" w:hanging="357"/>
        <w:contextualSpacing w:val="0"/>
        <w:rPr>
          <w:szCs w:val="21"/>
          <w:highlight w:val="none"/>
        </w:rPr>
      </w:pPr>
      <w:r>
        <w:rPr>
          <w:szCs w:val="21"/>
          <w:highlight w:val="none"/>
        </w:rPr>
        <w:t xml:space="preserve">For NR </w:t>
      </w:r>
      <w:r>
        <w:rPr>
          <w:iCs/>
          <w:szCs w:val="21"/>
          <w:highlight w:val="none"/>
        </w:rPr>
        <w:t>RACH-less</w:t>
      </w:r>
      <w:r>
        <w:rPr>
          <w:szCs w:val="21"/>
          <w:highlight w:val="none"/>
        </w:rPr>
        <w:t xml:space="preserve"> HO requirements,</w:t>
      </w:r>
    </w:p>
    <w:p w14:paraId="186D82BC">
      <w:pPr>
        <w:pStyle w:val="29"/>
        <w:numPr>
          <w:ilvl w:val="2"/>
          <w:numId w:val="6"/>
        </w:numPr>
        <w:snapToGrid w:val="0"/>
        <w:rPr>
          <w:iCs/>
          <w:szCs w:val="21"/>
          <w:highlight w:val="none"/>
        </w:rPr>
      </w:pPr>
      <w:r>
        <w:rPr>
          <w:iCs/>
          <w:szCs w:val="21"/>
          <w:highlight w:val="none"/>
        </w:rPr>
        <w:t>For 2Rx (e)RedCap UEs with FR1-NTN bands, RAN4 to reuse the legacy FR1-NTN RACH-less based HO requirements for normal UEs.</w:t>
      </w:r>
    </w:p>
    <w:p w14:paraId="350714AE">
      <w:pPr>
        <w:pStyle w:val="29"/>
        <w:numPr>
          <w:ilvl w:val="2"/>
          <w:numId w:val="6"/>
        </w:numPr>
        <w:snapToGrid w:val="0"/>
        <w:rPr>
          <w:iCs/>
          <w:szCs w:val="21"/>
          <w:highlight w:val="none"/>
        </w:rPr>
      </w:pPr>
      <w:r>
        <w:rPr>
          <w:iCs/>
          <w:szCs w:val="21"/>
          <w:highlight w:val="none"/>
        </w:rPr>
        <w:t>For 1Rx (e)RedCap UEs with FR1-NTN bands, RACH-less based handover delays should be extended compared to those defined for 2Rx (e)RedCap UEs.</w:t>
      </w:r>
    </w:p>
    <w:p w14:paraId="5BC24F7A">
      <w:pPr>
        <w:pStyle w:val="29"/>
        <w:keepNext w:val="0"/>
        <w:keepLines w:val="0"/>
        <w:pageBreakBefore w:val="0"/>
        <w:widowControl/>
        <w:numPr>
          <w:ilvl w:val="3"/>
          <w:numId w:val="6"/>
        </w:numPr>
        <w:kinsoku/>
        <w:wordWrap/>
        <w:overflowPunct/>
        <w:topLinePunct w:val="0"/>
        <w:autoSpaceDE/>
        <w:autoSpaceDN/>
        <w:bidi w:val="0"/>
        <w:adjustRightInd/>
        <w:snapToGrid/>
        <w:spacing w:after="0"/>
        <w:ind w:left="2920" w:hanging="181"/>
        <w:contextualSpacing w:val="0"/>
        <w:textAlignment w:val="auto"/>
        <w:rPr>
          <w:szCs w:val="21"/>
          <w:highlight w:val="none"/>
        </w:rPr>
      </w:pPr>
      <w:r>
        <w:rPr>
          <w:szCs w:val="21"/>
          <w:highlight w:val="none"/>
        </w:rPr>
        <w:t>The relaxations of T</w:t>
      </w:r>
      <w:r>
        <w:rPr>
          <w:szCs w:val="21"/>
          <w:highlight w:val="none"/>
          <w:vertAlign w:val="subscript"/>
        </w:rPr>
        <w:t>search</w:t>
      </w:r>
      <w:r>
        <w:rPr>
          <w:szCs w:val="21"/>
          <w:highlight w:val="none"/>
        </w:rPr>
        <w:t xml:space="preserve"> is the same as the relaxations defined for RACH-based HO</w:t>
      </w:r>
      <w:r>
        <w:rPr>
          <w:rFonts w:eastAsia="等线"/>
          <w:iCs/>
          <w:szCs w:val="21"/>
          <w:highlight w:val="none"/>
        </w:rPr>
        <w:t xml:space="preserve"> For 1Rx (e)RedCap UEs with FR1-NTN bands.</w:t>
      </w:r>
    </w:p>
    <w:p w14:paraId="383EB2C5">
      <w:pPr>
        <w:pStyle w:val="29"/>
        <w:ind w:left="3096"/>
        <w:contextualSpacing w:val="0"/>
        <w:rPr>
          <w:rFonts w:ascii="Times New Roman" w:hAnsi="Times New Roman" w:cs="Times New Roman"/>
          <w:sz w:val="20"/>
        </w:rPr>
      </w:pPr>
    </w:p>
    <w:p w14:paraId="094C35BE">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1-4</w:t>
      </w:r>
      <w:r>
        <w:rPr>
          <w:rFonts w:ascii="Times New Roman" w:hAnsi="Times New Roman" w:cs="Times New Roman"/>
          <w:sz w:val="20"/>
          <w:u w:val="single"/>
          <w:lang w:eastAsia="ko-KR"/>
        </w:rPr>
        <w:t>: Time/location-based CHO</w:t>
      </w:r>
      <w:r>
        <w:rPr>
          <w:rFonts w:hint="eastAsia" w:ascii="Times New Roman" w:hAnsi="Times New Roman" w:cs="Times New Roman"/>
          <w:sz w:val="20"/>
          <w:u w:val="single"/>
        </w:rPr>
        <w:t xml:space="preserve"> requirements </w:t>
      </w:r>
      <w:r>
        <w:rPr>
          <w:rFonts w:ascii="Times New Roman" w:hAnsi="Times New Roman" w:cs="Times New Roman"/>
          <w:sz w:val="20"/>
          <w:u w:val="single"/>
          <w:lang w:eastAsia="ko-KR"/>
        </w:rPr>
        <w:t>for 1Rx/2Rx (e)RedCap UEs with FR1-NTN</w:t>
      </w:r>
    </w:p>
    <w:p w14:paraId="261A123E">
      <w:r>
        <w:rPr>
          <w:rFonts w:hint="eastAsia" w:cs="Times New Roman"/>
          <w:i/>
          <w:iCs/>
          <w:color w:val="0070C0"/>
          <w:sz w:val="20"/>
          <w:u w:val="none"/>
          <w:lang w:val="en-US" w:eastAsia="zh-CN"/>
        </w:rPr>
        <w:t>Online agreement</w:t>
      </w:r>
    </w:p>
    <w:p w14:paraId="18A69150">
      <w:pPr>
        <w:snapToGrid w:val="0"/>
        <w:spacing w:after="120"/>
        <w:rPr>
          <w:rFonts w:ascii="Times New Roman" w:hAnsi="Times New Roman" w:cs="Times New Roman" w:eastAsiaTheme="minorEastAsia"/>
          <w:iCs/>
          <w:color w:val="0070C0"/>
          <w:sz w:val="20"/>
          <w:szCs w:val="20"/>
        </w:rPr>
      </w:pPr>
      <w:r>
        <w:rPr>
          <w:b/>
          <w:szCs w:val="24"/>
          <w:highlight w:val="green"/>
          <w:lang w:eastAsia="zh-CN"/>
        </w:rPr>
        <w:t>&lt; Agreement &gt;</w:t>
      </w:r>
      <w:r>
        <w:rPr>
          <w:rFonts w:hint="eastAsia"/>
          <w:b/>
          <w:szCs w:val="24"/>
          <w:highlight w:val="green"/>
          <w:lang w:val="en-US" w:eastAsia="zh-CN"/>
        </w:rPr>
        <w:t>:</w:t>
      </w:r>
    </w:p>
    <w:p w14:paraId="141B8236">
      <w:pPr>
        <w:pStyle w:val="29"/>
        <w:numPr>
          <w:ilvl w:val="0"/>
          <w:numId w:val="6"/>
        </w:numPr>
        <w:spacing w:after="120"/>
        <w:ind w:left="720"/>
        <w:contextualSpacing w:val="0"/>
        <w:rPr>
          <w:iCs/>
          <w:szCs w:val="21"/>
          <w:highlight w:val="none"/>
        </w:rPr>
      </w:pPr>
      <w:r>
        <w:rPr>
          <w:iCs/>
          <w:szCs w:val="21"/>
          <w:highlight w:val="none"/>
        </w:rPr>
        <w:t>For time/location-based CHO without L3 measurement,</w:t>
      </w:r>
    </w:p>
    <w:p w14:paraId="6DB7F166">
      <w:pPr>
        <w:pStyle w:val="29"/>
        <w:numPr>
          <w:ilvl w:val="1"/>
          <w:numId w:val="6"/>
        </w:numPr>
        <w:spacing w:after="120"/>
        <w:ind w:left="1655" w:hanging="357"/>
        <w:contextualSpacing w:val="0"/>
        <w:rPr>
          <w:iCs/>
          <w:szCs w:val="21"/>
          <w:highlight w:val="none"/>
        </w:rPr>
      </w:pPr>
      <w:r>
        <w:rPr>
          <w:iCs/>
          <w:szCs w:val="21"/>
          <w:highlight w:val="none"/>
        </w:rPr>
        <w:t xml:space="preserve">RAN4 to reuse the legacy FR1-NTN Time/location-based CHO without L3 measurement defined requirements for normal UEs for </w:t>
      </w:r>
      <w:r>
        <w:rPr>
          <w:rFonts w:eastAsia="等线"/>
          <w:bCs/>
          <w:iCs/>
          <w:szCs w:val="21"/>
          <w:highlight w:val="none"/>
          <w:lang w:val="en-GB"/>
        </w:rPr>
        <w:t>2Rx (e)RedCap UE with FR1-NTN</w:t>
      </w:r>
      <w:r>
        <w:rPr>
          <w:iCs/>
          <w:szCs w:val="21"/>
          <w:highlight w:val="none"/>
        </w:rPr>
        <w:t>.</w:t>
      </w:r>
    </w:p>
    <w:p w14:paraId="01299A1A">
      <w:pPr>
        <w:pStyle w:val="29"/>
        <w:numPr>
          <w:ilvl w:val="1"/>
          <w:numId w:val="6"/>
        </w:numPr>
        <w:spacing w:after="120"/>
        <w:ind w:left="1655" w:hanging="357"/>
        <w:contextualSpacing w:val="0"/>
        <w:rPr>
          <w:iCs/>
          <w:szCs w:val="21"/>
          <w:highlight w:val="none"/>
        </w:rPr>
      </w:pPr>
      <w:r>
        <w:rPr>
          <w:iCs/>
          <w:szCs w:val="21"/>
          <w:highlight w:val="none"/>
        </w:rPr>
        <w:t xml:space="preserve">Reuse the same relaxation on </w:t>
      </w:r>
      <w:r>
        <w:rPr>
          <w:szCs w:val="21"/>
          <w:highlight w:val="none"/>
        </w:rPr>
        <w:t>T</w:t>
      </w:r>
      <w:r>
        <w:rPr>
          <w:szCs w:val="21"/>
          <w:highlight w:val="none"/>
          <w:vertAlign w:val="subscript"/>
        </w:rPr>
        <w:t>search</w:t>
      </w:r>
      <w:r>
        <w:rPr>
          <w:iCs/>
          <w:szCs w:val="21"/>
          <w:highlight w:val="none"/>
        </w:rPr>
        <w:t xml:space="preserve"> of RACH-based HO requirements for </w:t>
      </w:r>
      <w:r>
        <w:rPr>
          <w:rFonts w:eastAsia="等线"/>
          <w:bCs/>
          <w:iCs/>
          <w:szCs w:val="21"/>
          <w:highlight w:val="none"/>
          <w:lang w:val="en-GB"/>
        </w:rPr>
        <w:t>1Rx (e)RedCap UE with FR1-NTN</w:t>
      </w:r>
      <w:r>
        <w:rPr>
          <w:iCs/>
          <w:szCs w:val="21"/>
          <w:highlight w:val="none"/>
        </w:rPr>
        <w:t xml:space="preserve"> compared to 2Rx (e)RedCap UEs.</w:t>
      </w:r>
    </w:p>
    <w:p w14:paraId="213B7F98">
      <w:pPr>
        <w:pStyle w:val="29"/>
        <w:numPr>
          <w:ilvl w:val="0"/>
          <w:numId w:val="6"/>
        </w:numPr>
        <w:spacing w:after="120"/>
        <w:ind w:left="720"/>
        <w:contextualSpacing w:val="0"/>
        <w:rPr>
          <w:iCs/>
          <w:szCs w:val="21"/>
          <w:highlight w:val="none"/>
        </w:rPr>
      </w:pPr>
      <w:r>
        <w:rPr>
          <w:iCs/>
          <w:szCs w:val="21"/>
          <w:highlight w:val="none"/>
        </w:rPr>
        <w:t>For time/location-based CHO with L3 measurement,</w:t>
      </w:r>
    </w:p>
    <w:p w14:paraId="41493790">
      <w:pPr>
        <w:pStyle w:val="29"/>
        <w:numPr>
          <w:ilvl w:val="1"/>
          <w:numId w:val="6"/>
        </w:numPr>
        <w:spacing w:after="120"/>
        <w:ind w:left="1655" w:hanging="357"/>
        <w:contextualSpacing w:val="0"/>
        <w:rPr>
          <w:szCs w:val="21"/>
          <w:highlight w:val="none"/>
        </w:rPr>
      </w:pPr>
      <w:r>
        <w:rPr>
          <w:szCs w:val="21"/>
          <w:highlight w:val="none"/>
        </w:rPr>
        <w:t xml:space="preserve">RAN4 to reuse legacy FR1-NTN Time/location-based CHO with L3 measurement requirements defined for normal UEs with the following adaptation: </w:t>
      </w:r>
    </w:p>
    <w:p w14:paraId="459E5909">
      <w:pPr>
        <w:pStyle w:val="29"/>
        <w:numPr>
          <w:ilvl w:val="2"/>
          <w:numId w:val="6"/>
        </w:numPr>
        <w:spacing w:after="120"/>
        <w:contextualSpacing w:val="0"/>
        <w:rPr>
          <w:bCs/>
          <w:szCs w:val="21"/>
          <w:highlight w:val="none"/>
        </w:rPr>
      </w:pPr>
      <w:r>
        <w:rPr>
          <w:bCs/>
          <w:szCs w:val="21"/>
          <w:highlight w:val="none"/>
        </w:rPr>
        <w:t xml:space="preserve">For </w:t>
      </w:r>
      <w:r>
        <w:rPr>
          <w:bCs/>
          <w:szCs w:val="21"/>
          <w:highlight w:val="none"/>
          <w:lang w:eastAsia="en-US"/>
        </w:rPr>
        <w:t>T</w:t>
      </w:r>
      <w:r>
        <w:rPr>
          <w:bCs/>
          <w:szCs w:val="21"/>
          <w:highlight w:val="none"/>
          <w:vertAlign w:val="subscript"/>
          <w:lang w:eastAsia="en-US"/>
        </w:rPr>
        <w:t>measure</w:t>
      </w:r>
      <w:r>
        <w:rPr>
          <w:bCs/>
          <w:szCs w:val="21"/>
          <w:highlight w:val="none"/>
          <w:lang w:eastAsia="en-US"/>
        </w:rPr>
        <w:t>, i.e., T</w:t>
      </w:r>
      <w:r>
        <w:rPr>
          <w:bCs/>
          <w:szCs w:val="21"/>
          <w:highlight w:val="none"/>
          <w:vertAlign w:val="subscript"/>
          <w:lang w:eastAsia="en-US"/>
        </w:rPr>
        <w:t>identify_intra</w:t>
      </w:r>
      <w:r>
        <w:rPr>
          <w:bCs/>
          <w:szCs w:val="21"/>
          <w:highlight w:val="none"/>
          <w:vertAlign w:val="subscript"/>
        </w:rPr>
        <w:t>/inter</w:t>
      </w:r>
      <w:r>
        <w:rPr>
          <w:bCs/>
          <w:szCs w:val="21"/>
          <w:highlight w:val="none"/>
          <w:vertAlign w:val="subscript"/>
          <w:lang w:eastAsia="en-US"/>
        </w:rPr>
        <w:t>_with_index</w:t>
      </w:r>
      <w:r>
        <w:rPr>
          <w:bCs/>
          <w:szCs w:val="21"/>
          <w:highlight w:val="none"/>
          <w:lang w:eastAsia="en-US"/>
        </w:rPr>
        <w:t xml:space="preserve"> or T</w:t>
      </w:r>
      <w:r>
        <w:rPr>
          <w:bCs/>
          <w:szCs w:val="21"/>
          <w:highlight w:val="none"/>
          <w:vertAlign w:val="subscript"/>
          <w:lang w:eastAsia="en-US"/>
        </w:rPr>
        <w:t>identify_intra</w:t>
      </w:r>
      <w:r>
        <w:rPr>
          <w:bCs/>
          <w:szCs w:val="21"/>
          <w:highlight w:val="none"/>
          <w:vertAlign w:val="subscript"/>
        </w:rPr>
        <w:t>/inter</w:t>
      </w:r>
      <w:r>
        <w:rPr>
          <w:bCs/>
          <w:szCs w:val="21"/>
          <w:highlight w:val="none"/>
          <w:vertAlign w:val="subscript"/>
          <w:lang w:eastAsia="en-US"/>
        </w:rPr>
        <w:t xml:space="preserve"> _without_index</w:t>
      </w:r>
      <w:r>
        <w:rPr>
          <w:bCs/>
          <w:szCs w:val="21"/>
          <w:highlight w:val="none"/>
        </w:rPr>
        <w:t xml:space="preserve"> defined in Section 9 </w:t>
      </w:r>
      <w:r>
        <w:rPr>
          <w:bCs/>
          <w:szCs w:val="21"/>
          <w:highlight w:val="none"/>
          <w:lang w:eastAsia="en-US"/>
        </w:rPr>
        <w:t xml:space="preserve">for </w:t>
      </w:r>
      <w:r>
        <w:rPr>
          <w:rFonts w:eastAsia="等线"/>
          <w:bCs/>
          <w:iCs/>
          <w:szCs w:val="21"/>
          <w:highlight w:val="none"/>
          <w:lang w:val="en-GB"/>
        </w:rPr>
        <w:t>1Rx/2Rx (e)RedCap UE with FR1-NTN can be reused.</w:t>
      </w:r>
    </w:p>
    <w:p w14:paraId="57607DCB">
      <w:pPr>
        <w:pStyle w:val="29"/>
        <w:numPr>
          <w:ilvl w:val="0"/>
          <w:numId w:val="0"/>
        </w:numPr>
        <w:spacing w:after="120"/>
        <w:ind w:left="2016" w:leftChars="0"/>
        <w:contextualSpacing w:val="0"/>
        <w:rPr>
          <w:bCs/>
          <w:szCs w:val="21"/>
          <w:highlight w:val="none"/>
        </w:rPr>
      </w:pPr>
    </w:p>
    <w:p w14:paraId="425F0B2B">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ko-KR"/>
        </w:rPr>
        <w:t>2</w:t>
      </w:r>
      <w:r>
        <w:rPr>
          <w:rFonts w:ascii="Times New Roman" w:hAnsi="Times New Roman" w:cs="Times New Roman"/>
          <w:sz w:val="20"/>
          <w:u w:val="single"/>
          <w:lang w:eastAsia="ko-KR"/>
        </w:rPr>
        <w:t>-</w:t>
      </w:r>
      <w:r>
        <w:rPr>
          <w:rFonts w:hint="eastAsia" w:ascii="Times New Roman" w:hAnsi="Times New Roman" w:cs="Times New Roman"/>
          <w:sz w:val="20"/>
          <w:u w:val="single"/>
        </w:rPr>
        <w:t>1</w:t>
      </w:r>
      <w:r>
        <w:rPr>
          <w:rFonts w:hint="eastAsia" w:ascii="Times New Roman" w:hAnsi="Times New Roman" w:cs="Times New Roman"/>
          <w:sz w:val="20"/>
          <w:u w:val="single"/>
          <w:lang w:eastAsia="ko-KR"/>
        </w:rPr>
        <w:t>-</w:t>
      </w:r>
      <w:r>
        <w:rPr>
          <w:rFonts w:hint="eastAsia" w:ascii="Times New Roman" w:hAnsi="Times New Roman" w:cs="Times New Roman"/>
          <w:sz w:val="20"/>
          <w:u w:val="single"/>
        </w:rPr>
        <w:t>5</w:t>
      </w:r>
      <w:r>
        <w:rPr>
          <w:rFonts w:ascii="Times New Roman" w:hAnsi="Times New Roman" w:cs="Times New Roman"/>
          <w:sz w:val="20"/>
          <w:u w:val="single"/>
          <w:lang w:eastAsia="ko-KR"/>
        </w:rPr>
        <w:t>: Satellite switching with re-sync</w:t>
      </w:r>
    </w:p>
    <w:p w14:paraId="13942CC6">
      <w:pPr>
        <w:rPr>
          <w:lang w:eastAsia="ko-KR"/>
        </w:rPr>
      </w:pPr>
      <w:r>
        <w:rPr>
          <w:rFonts w:hint="eastAsia" w:cs="Times New Roman"/>
          <w:i/>
          <w:iCs/>
          <w:color w:val="0070C0"/>
          <w:sz w:val="20"/>
          <w:u w:val="none"/>
          <w:lang w:val="en-US" w:eastAsia="zh-CN"/>
        </w:rPr>
        <w:t>Online agreement</w:t>
      </w:r>
    </w:p>
    <w:p w14:paraId="2360B1A6">
      <w:pPr>
        <w:snapToGrid w:val="0"/>
        <w:spacing w:after="120"/>
        <w:rPr>
          <w:rFonts w:eastAsia="等线"/>
          <w:iCs/>
          <w:sz w:val="21"/>
          <w:szCs w:val="21"/>
          <w:highlight w:val="green"/>
          <w:u w:val="single"/>
          <w:lang w:eastAsia="zh-CN"/>
        </w:rPr>
      </w:pPr>
      <w:r>
        <w:rPr>
          <w:b/>
          <w:szCs w:val="24"/>
          <w:highlight w:val="green"/>
          <w:lang w:eastAsia="zh-CN"/>
        </w:rPr>
        <w:t>&lt; Agreement &gt;</w:t>
      </w:r>
      <w:r>
        <w:rPr>
          <w:rFonts w:hint="eastAsia"/>
          <w:b/>
          <w:szCs w:val="24"/>
          <w:highlight w:val="green"/>
          <w:lang w:val="en-US" w:eastAsia="zh-CN"/>
        </w:rPr>
        <w:t>:</w:t>
      </w:r>
    </w:p>
    <w:p w14:paraId="3D603CB5">
      <w:pPr>
        <w:pStyle w:val="29"/>
        <w:numPr>
          <w:ilvl w:val="1"/>
          <w:numId w:val="6"/>
        </w:numPr>
        <w:contextualSpacing w:val="0"/>
        <w:rPr>
          <w:szCs w:val="21"/>
          <w:highlight w:val="none"/>
        </w:rPr>
      </w:pPr>
      <w:r>
        <w:rPr>
          <w:szCs w:val="21"/>
          <w:highlight w:val="none"/>
        </w:rPr>
        <w:t xml:space="preserve">For </w:t>
      </w:r>
      <w:r>
        <w:rPr>
          <w:szCs w:val="21"/>
          <w:highlight w:val="none"/>
          <w:lang w:val="en-GB"/>
        </w:rPr>
        <w:t xml:space="preserve">Satellite switching with re-sync requirements, </w:t>
      </w:r>
    </w:p>
    <w:p w14:paraId="737C73FC">
      <w:pPr>
        <w:pStyle w:val="29"/>
        <w:numPr>
          <w:ilvl w:val="2"/>
          <w:numId w:val="6"/>
        </w:numPr>
        <w:snapToGrid w:val="0"/>
        <w:rPr>
          <w:bCs/>
          <w:szCs w:val="21"/>
          <w:highlight w:val="none"/>
          <w:lang w:eastAsia="en-US"/>
        </w:rPr>
      </w:pPr>
      <w:r>
        <w:rPr>
          <w:bCs/>
          <w:szCs w:val="21"/>
          <w:highlight w:val="none"/>
          <w:lang w:eastAsia="en-US"/>
        </w:rPr>
        <w:t>For 2Rx (e)RedCap UEs with FR1-NTN bands, reuse the legacy Satellite switching with re-sync requirements for normal UEs</w:t>
      </w:r>
      <w:r>
        <w:rPr>
          <w:rFonts w:hint="eastAsia"/>
          <w:bCs/>
          <w:szCs w:val="21"/>
          <w:highlight w:val="none"/>
          <w:lang w:val="en-US" w:eastAsia="zh-CN"/>
        </w:rPr>
        <w:t xml:space="preserve"> </w:t>
      </w:r>
      <w:r>
        <w:rPr>
          <w:szCs w:val="21"/>
          <w:highlight w:val="none"/>
          <w:lang w:val="en-GB"/>
        </w:rPr>
        <w:t>(including both hard satellite switch with re-sync and soft satellite switch with re-sync)</w:t>
      </w:r>
      <w:r>
        <w:rPr>
          <w:bCs/>
          <w:szCs w:val="21"/>
          <w:highlight w:val="none"/>
          <w:lang w:eastAsia="en-US"/>
        </w:rPr>
        <w:t>.</w:t>
      </w:r>
    </w:p>
    <w:p w14:paraId="59D548C9">
      <w:pPr>
        <w:pStyle w:val="29"/>
        <w:numPr>
          <w:ilvl w:val="2"/>
          <w:numId w:val="6"/>
        </w:numPr>
        <w:snapToGrid w:val="0"/>
        <w:rPr>
          <w:bCs/>
          <w:szCs w:val="21"/>
          <w:highlight w:val="none"/>
          <w:lang w:eastAsia="en-US"/>
        </w:rPr>
      </w:pPr>
      <w:r>
        <w:rPr>
          <w:bCs/>
          <w:szCs w:val="21"/>
          <w:highlight w:val="none"/>
          <w:lang w:eastAsia="en-US"/>
        </w:rPr>
        <w:t>For hard Satellite switching with re-sync requirements, for 1Rx (e)RedCap UEs with FR1-NTN bands, the delays for Satellite switching with re-sync should be extended compared to those defined for 2Rx (e)RedCap UEs.</w:t>
      </w:r>
    </w:p>
    <w:p w14:paraId="4DF1F20B">
      <w:pPr>
        <w:pStyle w:val="29"/>
        <w:keepNext w:val="0"/>
        <w:keepLines w:val="0"/>
        <w:pageBreakBefore w:val="0"/>
        <w:widowControl/>
        <w:numPr>
          <w:ilvl w:val="3"/>
          <w:numId w:val="6"/>
        </w:numPr>
        <w:kinsoku/>
        <w:wordWrap/>
        <w:overflowPunct/>
        <w:topLinePunct w:val="0"/>
        <w:autoSpaceDE/>
        <w:autoSpaceDN/>
        <w:bidi w:val="0"/>
        <w:adjustRightInd/>
        <w:snapToGrid/>
        <w:spacing w:after="0"/>
        <w:ind w:left="2920" w:hanging="181"/>
        <w:contextualSpacing w:val="0"/>
        <w:textAlignment w:val="auto"/>
        <w:rPr>
          <w:szCs w:val="21"/>
          <w:highlight w:val="none"/>
        </w:rPr>
      </w:pPr>
      <w:r>
        <w:rPr>
          <w:rFonts w:eastAsia="等线"/>
          <w:szCs w:val="21"/>
          <w:highlight w:val="none"/>
        </w:rPr>
        <w:t>Define the relaxation on T</w:t>
      </w:r>
      <w:r>
        <w:rPr>
          <w:rFonts w:eastAsia="等线"/>
          <w:szCs w:val="21"/>
          <w:highlight w:val="none"/>
          <w:vertAlign w:val="subscript"/>
        </w:rPr>
        <w:t>search</w:t>
      </w:r>
      <w:r>
        <w:rPr>
          <w:szCs w:val="21"/>
          <w:highlight w:val="none"/>
        </w:rPr>
        <w:t xml:space="preserve"> by extending one more </w:t>
      </w:r>
      <w:r>
        <w:rPr>
          <w:szCs w:val="21"/>
          <w:highlight w:val="yellow"/>
        </w:rPr>
        <w:t>[SSB or SMTC]</w:t>
      </w:r>
      <w:r>
        <w:rPr>
          <w:szCs w:val="21"/>
          <w:highlight w:val="none"/>
        </w:rPr>
        <w:t xml:space="preserve"> periodicity on the top of T</w:t>
      </w:r>
      <w:r>
        <w:rPr>
          <w:szCs w:val="21"/>
          <w:highlight w:val="none"/>
          <w:vertAlign w:val="subscript"/>
        </w:rPr>
        <w:t>first_SSB</w:t>
      </w:r>
      <w:r>
        <w:rPr>
          <w:szCs w:val="21"/>
          <w:highlight w:val="none"/>
        </w:rPr>
        <w:t>:</w:t>
      </w:r>
    </w:p>
    <w:p w14:paraId="793314C1">
      <w:pPr>
        <w:pStyle w:val="29"/>
        <w:numPr>
          <w:ilvl w:val="0"/>
          <w:numId w:val="12"/>
        </w:numPr>
        <w:snapToGrid w:val="0"/>
        <w:rPr>
          <w:szCs w:val="21"/>
          <w:highlight w:val="none"/>
        </w:rPr>
      </w:pPr>
      <w:r>
        <w:rPr>
          <w:szCs w:val="21"/>
          <w:highlight w:val="none"/>
        </w:rPr>
        <w:t>T</w:t>
      </w:r>
      <w:r>
        <w:rPr>
          <w:szCs w:val="21"/>
          <w:highlight w:val="none"/>
          <w:vertAlign w:val="subscript"/>
        </w:rPr>
        <w:t>search</w:t>
      </w:r>
      <w:r>
        <w:rPr>
          <w:szCs w:val="21"/>
          <w:highlight w:val="none"/>
        </w:rPr>
        <w:t xml:space="preserve"> = T</w:t>
      </w:r>
      <w:r>
        <w:rPr>
          <w:szCs w:val="21"/>
          <w:highlight w:val="none"/>
          <w:vertAlign w:val="subscript"/>
        </w:rPr>
        <w:t>first_SSB</w:t>
      </w:r>
      <w:r>
        <w:rPr>
          <w:szCs w:val="21"/>
          <w:highlight w:val="none"/>
        </w:rPr>
        <w:t xml:space="preserve"> +</w:t>
      </w:r>
      <w:r>
        <w:rPr>
          <w:szCs w:val="21"/>
          <w:highlight w:val="yellow"/>
        </w:rPr>
        <w:t xml:space="preserve"> [T</w:t>
      </w:r>
      <w:r>
        <w:rPr>
          <w:szCs w:val="21"/>
          <w:highlight w:val="yellow"/>
          <w:vertAlign w:val="subscript"/>
        </w:rPr>
        <w:t>SSB</w:t>
      </w:r>
      <w:r>
        <w:rPr>
          <w:szCs w:val="21"/>
          <w:highlight w:val="yellow"/>
        </w:rPr>
        <w:t xml:space="preserve"> or T</w:t>
      </w:r>
      <w:r>
        <w:rPr>
          <w:szCs w:val="21"/>
          <w:highlight w:val="yellow"/>
          <w:vertAlign w:val="subscript"/>
        </w:rPr>
        <w:t>RS</w:t>
      </w:r>
      <w:r>
        <w:rPr>
          <w:szCs w:val="21"/>
          <w:highlight w:val="yellow"/>
        </w:rPr>
        <w:t>]</w:t>
      </w:r>
      <w:r>
        <w:rPr>
          <w:szCs w:val="21"/>
          <w:highlight w:val="none"/>
        </w:rPr>
        <w:t xml:space="preserve"> ms if UE is only required to support 1 Rx antenna, where T</w:t>
      </w:r>
      <w:r>
        <w:rPr>
          <w:szCs w:val="21"/>
          <w:highlight w:val="none"/>
          <w:vertAlign w:val="subscript"/>
        </w:rPr>
        <w:t>SSB</w:t>
      </w:r>
      <w:r>
        <w:rPr>
          <w:szCs w:val="21"/>
          <w:highlight w:val="none"/>
        </w:rPr>
        <w:t xml:space="preserve"> is the periodicity of the SSB of the source satellite</w:t>
      </w:r>
      <w:bookmarkStart w:id="21" w:name="_GoBack"/>
    </w:p>
    <w:bookmarkEnd w:id="21"/>
    <w:p w14:paraId="4B31E5EF">
      <w:pPr>
        <w:pStyle w:val="29"/>
        <w:numPr>
          <w:ilvl w:val="2"/>
          <w:numId w:val="6"/>
        </w:numPr>
        <w:snapToGrid w:val="0"/>
        <w:rPr>
          <w:bCs/>
          <w:szCs w:val="21"/>
          <w:highlight w:val="none"/>
          <w:lang w:eastAsia="en-US"/>
        </w:rPr>
      </w:pPr>
      <w:r>
        <w:rPr>
          <w:rFonts w:hint="eastAsia"/>
          <w:bCs/>
          <w:szCs w:val="21"/>
          <w:highlight w:val="none"/>
        </w:rPr>
        <w:t>F</w:t>
      </w:r>
      <w:r>
        <w:rPr>
          <w:bCs/>
          <w:szCs w:val="21"/>
          <w:highlight w:val="none"/>
        </w:rPr>
        <w:t>FS</w:t>
      </w:r>
      <w:r>
        <w:rPr>
          <w:rFonts w:hint="eastAsia"/>
          <w:bCs/>
          <w:szCs w:val="21"/>
          <w:highlight w:val="none"/>
          <w:lang w:val="en-US" w:eastAsia="zh-CN"/>
        </w:rPr>
        <w:t>:</w:t>
      </w:r>
      <w:r>
        <w:rPr>
          <w:bCs/>
          <w:szCs w:val="21"/>
          <w:highlight w:val="none"/>
        </w:rPr>
        <w:t xml:space="preserve"> whether to define soft </w:t>
      </w:r>
      <w:r>
        <w:rPr>
          <w:bCs/>
          <w:szCs w:val="21"/>
          <w:highlight w:val="none"/>
          <w:lang w:eastAsia="en-US"/>
        </w:rPr>
        <w:t>Satellite switching with re-sync requirements for 1Rx (e)RedCap UEs with FR1-NTN bands.</w:t>
      </w:r>
    </w:p>
    <w:p w14:paraId="6B33BA4E">
      <w:pPr>
        <w:pStyle w:val="29"/>
        <w:snapToGrid w:val="0"/>
        <w:ind w:left="3096"/>
        <w:rPr>
          <w:szCs w:val="21"/>
          <w:highlight w:val="none"/>
        </w:rPr>
      </w:pPr>
    </w:p>
    <w:p w14:paraId="1A4AAB4B">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1-6</w:t>
      </w:r>
      <w:r>
        <w:rPr>
          <w:rFonts w:ascii="Times New Roman" w:hAnsi="Times New Roman" w:cs="Times New Roman"/>
          <w:sz w:val="20"/>
          <w:u w:val="single"/>
          <w:lang w:eastAsia="ko-KR"/>
        </w:rPr>
        <w:t>: RRC Re-establishment</w:t>
      </w:r>
      <w:r>
        <w:rPr>
          <w:rFonts w:hint="eastAsia" w:ascii="Times New Roman" w:hAnsi="Times New Roman" w:cs="Times New Roman"/>
          <w:sz w:val="20"/>
          <w:u w:val="single"/>
        </w:rPr>
        <w:t xml:space="preserve"> requirements </w:t>
      </w:r>
      <w:r>
        <w:rPr>
          <w:rFonts w:ascii="Times New Roman" w:hAnsi="Times New Roman" w:cs="Times New Roman"/>
          <w:sz w:val="20"/>
          <w:u w:val="single"/>
          <w:lang w:eastAsia="ko-KR"/>
        </w:rPr>
        <w:t>for 1Rx/2Rx (e)RedCap UEs with FR1-NTN</w:t>
      </w:r>
    </w:p>
    <w:p w14:paraId="60502D7F">
      <w:pPr>
        <w:rPr>
          <w:lang w:eastAsia="ko-KR"/>
        </w:rPr>
      </w:pPr>
      <w:r>
        <w:rPr>
          <w:rFonts w:hint="eastAsia" w:cs="Times New Roman"/>
          <w:i/>
          <w:iCs/>
          <w:color w:val="0070C0"/>
          <w:sz w:val="20"/>
          <w:u w:val="none"/>
          <w:lang w:val="en-US" w:eastAsia="zh-CN"/>
        </w:rPr>
        <w:t>Online agreement</w:t>
      </w:r>
    </w:p>
    <w:p w14:paraId="1ACD4D12">
      <w:pPr>
        <w:snapToGrid w:val="0"/>
        <w:spacing w:after="120"/>
        <w:rPr>
          <w:iCs/>
          <w:szCs w:val="21"/>
          <w:highlight w:val="green"/>
          <w:lang w:eastAsia="zh-CN"/>
        </w:rPr>
      </w:pPr>
      <w:r>
        <w:rPr>
          <w:b/>
          <w:szCs w:val="24"/>
          <w:highlight w:val="green"/>
          <w:lang w:eastAsia="zh-CN"/>
        </w:rPr>
        <w:t>&lt; Agreement &gt;</w:t>
      </w:r>
      <w:r>
        <w:rPr>
          <w:rFonts w:hint="eastAsia"/>
          <w:b/>
          <w:szCs w:val="24"/>
          <w:highlight w:val="green"/>
          <w:lang w:val="en-US" w:eastAsia="zh-CN"/>
        </w:rPr>
        <w:t>:</w:t>
      </w:r>
    </w:p>
    <w:p w14:paraId="694AFCCE">
      <w:pPr>
        <w:pStyle w:val="29"/>
        <w:numPr>
          <w:ilvl w:val="1"/>
          <w:numId w:val="6"/>
        </w:numPr>
        <w:spacing w:after="120"/>
        <w:ind w:left="1655" w:hanging="357"/>
        <w:contextualSpacing w:val="0"/>
        <w:rPr>
          <w:iCs/>
          <w:szCs w:val="21"/>
          <w:highlight w:val="none"/>
        </w:rPr>
      </w:pPr>
      <w:r>
        <w:rPr>
          <w:iCs/>
          <w:szCs w:val="21"/>
          <w:highlight w:val="none"/>
        </w:rPr>
        <w:t>For 2Rx (e)RedCap UEs with FR1-NTN bands, RAN4 to reuse the legacy FR1-NTN RRC re-establishment delay requirements for normal UEs in high level.</w:t>
      </w:r>
    </w:p>
    <w:p w14:paraId="22CF1377">
      <w:pPr>
        <w:pStyle w:val="29"/>
        <w:numPr>
          <w:ilvl w:val="2"/>
          <w:numId w:val="6"/>
        </w:numPr>
        <w:snapToGrid w:val="0"/>
        <w:contextualSpacing w:val="0"/>
        <w:rPr>
          <w:iCs/>
          <w:szCs w:val="21"/>
          <w:highlight w:val="none"/>
        </w:rPr>
      </w:pPr>
      <w:r>
        <w:rPr>
          <w:iCs/>
          <w:szCs w:val="21"/>
          <w:highlight w:val="none"/>
        </w:rPr>
        <w:t>Depend on the supported UE capabilities (e.g., multiple SMTC), the existing NR NTN requirements may need be revised.</w:t>
      </w:r>
    </w:p>
    <w:p w14:paraId="0B5C9BC5">
      <w:pPr>
        <w:pStyle w:val="29"/>
        <w:numPr>
          <w:ilvl w:val="1"/>
          <w:numId w:val="6"/>
        </w:numPr>
        <w:spacing w:after="120"/>
        <w:ind w:left="1655" w:hanging="357"/>
        <w:contextualSpacing w:val="0"/>
        <w:rPr>
          <w:szCs w:val="21"/>
          <w:highlight w:val="none"/>
        </w:rPr>
      </w:pPr>
      <w:r>
        <w:rPr>
          <w:iCs/>
          <w:szCs w:val="21"/>
          <w:highlight w:val="none"/>
        </w:rPr>
        <w:t xml:space="preserve">For 1Rx (e)RedCap UEs with FR1-NTN bands, </w:t>
      </w:r>
      <w:r>
        <w:rPr>
          <w:szCs w:val="21"/>
          <w:highlight w:val="none"/>
        </w:rPr>
        <w:t>UE RRC re-establishment delay (T</w:t>
      </w:r>
      <w:r>
        <w:rPr>
          <w:szCs w:val="21"/>
          <w:highlight w:val="none"/>
          <w:vertAlign w:val="subscript"/>
        </w:rPr>
        <w:t>UE_re-establish_delay</w:t>
      </w:r>
      <w:r>
        <w:rPr>
          <w:szCs w:val="21"/>
          <w:highlight w:val="none"/>
        </w:rPr>
        <w:t>) should be extended compared to those defined for 2Rx (e)RedCap UEs.</w:t>
      </w:r>
    </w:p>
    <w:p w14:paraId="0C7B8DF4">
      <w:pPr>
        <w:pStyle w:val="29"/>
        <w:keepNext w:val="0"/>
        <w:keepLines w:val="0"/>
        <w:pageBreakBefore w:val="0"/>
        <w:widowControl/>
        <w:numPr>
          <w:ilvl w:val="2"/>
          <w:numId w:val="6"/>
        </w:numPr>
        <w:kinsoku/>
        <w:wordWrap/>
        <w:overflowPunct/>
        <w:topLinePunct w:val="0"/>
        <w:autoSpaceDE/>
        <w:autoSpaceDN/>
        <w:bidi w:val="0"/>
        <w:adjustRightInd/>
        <w:snapToGrid w:val="0"/>
        <w:spacing w:after="0"/>
        <w:ind w:left="2381" w:hanging="363"/>
        <w:contextualSpacing w:val="0"/>
        <w:textAlignment w:val="auto"/>
        <w:rPr>
          <w:szCs w:val="21"/>
          <w:highlight w:val="none"/>
        </w:rPr>
      </w:pPr>
      <w:r>
        <w:rPr>
          <w:szCs w:val="21"/>
          <w:highlight w:val="none"/>
        </w:rPr>
        <w:t>Define the relaxation on T</w:t>
      </w:r>
      <w:r>
        <w:rPr>
          <w:rFonts w:eastAsia="Calibri"/>
          <w:szCs w:val="21"/>
          <w:highlight w:val="none"/>
          <w:vertAlign w:val="subscript"/>
          <w:lang w:eastAsia="en-US"/>
        </w:rPr>
        <w:t>identify</w:t>
      </w:r>
      <w:r>
        <w:rPr>
          <w:szCs w:val="21"/>
          <w:highlight w:val="none"/>
        </w:rPr>
        <w:t xml:space="preserve"> for known and unknown intra/inter-frequency cell, and the same relaxation for 1 Rx RedCap UE in TN network can be reused.</w:t>
      </w:r>
    </w:p>
    <w:p w14:paraId="00A0D0DF">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szCs w:val="21"/>
          <w:highlight w:val="none"/>
        </w:rPr>
      </w:pPr>
      <w:r>
        <w:rPr>
          <w:szCs w:val="21"/>
          <w:highlight w:val="none"/>
        </w:rPr>
        <w:t>R</w:t>
      </w:r>
      <w:r>
        <w:rPr>
          <w:rFonts w:eastAsia="Calibri"/>
          <w:szCs w:val="21"/>
          <w:highlight w:val="none"/>
          <w:lang w:eastAsia="en-US"/>
        </w:rPr>
        <w:t>elax the T</w:t>
      </w:r>
      <w:r>
        <w:rPr>
          <w:rFonts w:eastAsia="Calibri"/>
          <w:szCs w:val="21"/>
          <w:highlight w:val="none"/>
          <w:vertAlign w:val="subscript"/>
          <w:lang w:eastAsia="en-US"/>
        </w:rPr>
        <w:t xml:space="preserve">identify_intra_NR </w:t>
      </w:r>
      <w:r>
        <w:rPr>
          <w:rFonts w:eastAsia="Calibri"/>
          <w:szCs w:val="21"/>
          <w:highlight w:val="none"/>
          <w:lang w:eastAsia="en-US"/>
        </w:rPr>
        <w:t>and T</w:t>
      </w:r>
      <w:r>
        <w:rPr>
          <w:rFonts w:eastAsia="Calibri"/>
          <w:szCs w:val="21"/>
          <w:highlight w:val="none"/>
          <w:vertAlign w:val="subscript"/>
          <w:lang w:eastAsia="en-US"/>
        </w:rPr>
        <w:t>identify_inter_NR, i</w:t>
      </w:r>
      <w:r>
        <w:rPr>
          <w:rFonts w:eastAsia="Calibri"/>
          <w:szCs w:val="21"/>
          <w:highlight w:val="none"/>
          <w:lang w:eastAsia="en-US"/>
        </w:rPr>
        <w:t xml:space="preserve"> by </w:t>
      </w:r>
      <w:r>
        <w:rPr>
          <w:szCs w:val="21"/>
          <w:highlight w:val="none"/>
        </w:rPr>
        <w:t>[</w:t>
      </w:r>
      <w:r>
        <w:rPr>
          <w:rFonts w:eastAsia="Calibri"/>
          <w:szCs w:val="21"/>
          <w:highlight w:val="none"/>
          <w:lang w:eastAsia="en-US"/>
        </w:rPr>
        <w:t>1</w:t>
      </w:r>
      <w:r>
        <w:rPr>
          <w:szCs w:val="21"/>
          <w:highlight w:val="none"/>
        </w:rPr>
        <w:t>]</w:t>
      </w:r>
      <w:r>
        <w:rPr>
          <w:rFonts w:eastAsia="Calibri"/>
          <w:szCs w:val="21"/>
          <w:highlight w:val="none"/>
          <w:lang w:eastAsia="en-US"/>
        </w:rPr>
        <w:t xml:space="preserve"> more samples </w:t>
      </w:r>
      <w:r>
        <w:rPr>
          <w:szCs w:val="21"/>
          <w:highlight w:val="none"/>
        </w:rPr>
        <w:t xml:space="preserve">for </w:t>
      </w:r>
      <w:r>
        <w:rPr>
          <w:rFonts w:eastAsia="Calibri"/>
          <w:szCs w:val="21"/>
          <w:highlight w:val="none"/>
          <w:lang w:eastAsia="en-US"/>
        </w:rPr>
        <w:t>FR1</w:t>
      </w:r>
      <w:r>
        <w:rPr>
          <w:szCs w:val="21"/>
          <w:highlight w:val="none"/>
        </w:rPr>
        <w:t xml:space="preserve"> known and unknown intra/inter-frequency cell</w:t>
      </w:r>
      <w:r>
        <w:rPr>
          <w:rFonts w:eastAsia="Calibri"/>
          <w:szCs w:val="21"/>
          <w:highlight w:val="none"/>
          <w:lang w:eastAsia="en-US"/>
        </w:rPr>
        <w:t>.</w:t>
      </w:r>
      <w:r>
        <w:rPr>
          <w:rFonts w:hint="eastAsia" w:eastAsia="Calibri"/>
          <w:szCs w:val="21"/>
          <w:highlight w:val="none"/>
          <w:lang w:eastAsia="en-US"/>
        </w:rPr>
        <w:t xml:space="preserve"> (In TN system, [] are still in the spec)</w:t>
      </w:r>
    </w:p>
    <w:p w14:paraId="37D593F8">
      <w:pPr>
        <w:pStyle w:val="29"/>
        <w:spacing w:after="120"/>
        <w:ind w:left="2376"/>
        <w:contextualSpacing w:val="0"/>
        <w:rPr>
          <w:rFonts w:ascii="Times New Roman" w:hAnsi="Times New Roman" w:cs="Times New Roman" w:eastAsiaTheme="minorEastAsia"/>
          <w:iCs/>
          <w:sz w:val="20"/>
          <w:szCs w:val="20"/>
          <w:highlight w:val="yellow"/>
        </w:rPr>
      </w:pPr>
    </w:p>
    <w:p w14:paraId="05C2B755">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1-7</w:t>
      </w:r>
      <w:r>
        <w:rPr>
          <w:rFonts w:ascii="Times New Roman" w:hAnsi="Times New Roman" w:cs="Times New Roman"/>
          <w:sz w:val="20"/>
          <w:u w:val="single"/>
          <w:lang w:eastAsia="ko-KR"/>
        </w:rPr>
        <w:t>: RRC Connection Release with redirection</w:t>
      </w:r>
      <w:r>
        <w:rPr>
          <w:rFonts w:hint="eastAsia" w:ascii="Times New Roman" w:hAnsi="Times New Roman" w:cs="Times New Roman"/>
          <w:sz w:val="20"/>
          <w:u w:val="single"/>
        </w:rPr>
        <w:t xml:space="preserve"> requirements </w:t>
      </w:r>
      <w:r>
        <w:rPr>
          <w:rFonts w:ascii="Times New Roman" w:hAnsi="Times New Roman" w:cs="Times New Roman"/>
          <w:sz w:val="20"/>
          <w:u w:val="single"/>
          <w:lang w:eastAsia="ko-KR"/>
        </w:rPr>
        <w:t>for 1Rx/2Rx (e)RedCap UEs with FR1-NTN</w:t>
      </w:r>
    </w:p>
    <w:p w14:paraId="25242F49">
      <w:pPr>
        <w:rPr>
          <w:b/>
          <w:szCs w:val="24"/>
          <w:highlight w:val="green"/>
          <w:lang w:eastAsia="zh-CN"/>
        </w:rPr>
      </w:pPr>
      <w:r>
        <w:rPr>
          <w:rFonts w:hint="eastAsia" w:cs="Times New Roman"/>
          <w:i/>
          <w:iCs/>
          <w:color w:val="0070C0"/>
          <w:sz w:val="20"/>
          <w:u w:val="none"/>
          <w:lang w:val="en-US" w:eastAsia="zh-CN"/>
        </w:rPr>
        <w:t>Online agreement</w:t>
      </w:r>
    </w:p>
    <w:p w14:paraId="25F3BD99">
      <w:pPr>
        <w:snapToGrid w:val="0"/>
        <w:spacing w:after="120"/>
        <w:rPr>
          <w:rFonts w:ascii="Times New Roman" w:hAnsi="Times New Roman" w:cs="Times New Roman" w:eastAsiaTheme="minorEastAsia"/>
          <w:iCs/>
          <w:color w:val="0070C0"/>
          <w:sz w:val="20"/>
          <w:szCs w:val="20"/>
        </w:rPr>
      </w:pPr>
      <w:r>
        <w:rPr>
          <w:b/>
          <w:szCs w:val="24"/>
          <w:highlight w:val="green"/>
          <w:lang w:eastAsia="zh-CN"/>
        </w:rPr>
        <w:t>&lt; Agreement &gt;</w:t>
      </w:r>
      <w:r>
        <w:rPr>
          <w:rFonts w:hint="eastAsia"/>
          <w:b/>
          <w:szCs w:val="24"/>
          <w:highlight w:val="green"/>
          <w:lang w:val="en-US" w:eastAsia="zh-CN"/>
        </w:rPr>
        <w:t>:</w:t>
      </w:r>
    </w:p>
    <w:p w14:paraId="6D495FE9">
      <w:pPr>
        <w:pStyle w:val="29"/>
        <w:numPr>
          <w:ilvl w:val="1"/>
          <w:numId w:val="6"/>
        </w:numPr>
        <w:spacing w:after="120"/>
        <w:ind w:left="1655" w:hanging="357"/>
        <w:contextualSpacing w:val="0"/>
        <w:rPr>
          <w:iCs/>
          <w:szCs w:val="21"/>
          <w:highlight w:val="none"/>
        </w:rPr>
      </w:pPr>
      <w:r>
        <w:rPr>
          <w:iCs/>
          <w:szCs w:val="21"/>
          <w:highlight w:val="none"/>
        </w:rPr>
        <w:t>For 2Rx (e)RedCap UEs with FR1-NTN bands, RAN4 to reuse the legacy FR1-NTN RRC Connection Release with redirection requirements for normal UEs in high level.</w:t>
      </w:r>
    </w:p>
    <w:p w14:paraId="213FE1DC">
      <w:pPr>
        <w:pStyle w:val="29"/>
        <w:numPr>
          <w:ilvl w:val="2"/>
          <w:numId w:val="6"/>
        </w:numPr>
        <w:snapToGrid w:val="0"/>
        <w:contextualSpacing w:val="0"/>
        <w:rPr>
          <w:iCs/>
          <w:szCs w:val="21"/>
          <w:highlight w:val="none"/>
        </w:rPr>
      </w:pPr>
      <w:r>
        <w:rPr>
          <w:iCs/>
          <w:szCs w:val="21"/>
          <w:highlight w:val="none"/>
        </w:rPr>
        <w:t>Depend on the supported UE capabilities, the existing NR NTN requirements may need be revised.</w:t>
      </w:r>
    </w:p>
    <w:p w14:paraId="51BE3E1F">
      <w:pPr>
        <w:pStyle w:val="29"/>
        <w:numPr>
          <w:ilvl w:val="1"/>
          <w:numId w:val="6"/>
        </w:numPr>
        <w:spacing w:after="120"/>
        <w:ind w:left="1655" w:hanging="357"/>
        <w:contextualSpacing w:val="0"/>
        <w:rPr>
          <w:szCs w:val="21"/>
          <w:highlight w:val="none"/>
        </w:rPr>
      </w:pPr>
      <w:r>
        <w:rPr>
          <w:iCs/>
          <w:szCs w:val="21"/>
          <w:highlight w:val="none"/>
        </w:rPr>
        <w:t xml:space="preserve">For 1Rx (e)RedCap UEs with FR1-NTN bands, the delay of </w:t>
      </w:r>
      <w:r>
        <w:rPr>
          <w:szCs w:val="21"/>
          <w:highlight w:val="none"/>
        </w:rPr>
        <w:t>RRC connection release with redirection to NR (T</w:t>
      </w:r>
      <w:r>
        <w:rPr>
          <w:szCs w:val="21"/>
          <w:highlight w:val="none"/>
          <w:vertAlign w:val="subscript"/>
        </w:rPr>
        <w:t>connection_release_redirect_NR</w:t>
      </w:r>
      <w:r>
        <w:rPr>
          <w:szCs w:val="21"/>
          <w:highlight w:val="none"/>
        </w:rPr>
        <w:t>) should be extended compared to those defined for 2Rx (e)RedCap UEs.</w:t>
      </w:r>
    </w:p>
    <w:p w14:paraId="5652AFDB">
      <w:pPr>
        <w:pStyle w:val="29"/>
        <w:keepNext w:val="0"/>
        <w:keepLines w:val="0"/>
        <w:pageBreakBefore w:val="0"/>
        <w:widowControl/>
        <w:numPr>
          <w:ilvl w:val="2"/>
          <w:numId w:val="6"/>
        </w:numPr>
        <w:kinsoku/>
        <w:wordWrap/>
        <w:overflowPunct/>
        <w:topLinePunct w:val="0"/>
        <w:autoSpaceDE/>
        <w:autoSpaceDN/>
        <w:bidi w:val="0"/>
        <w:adjustRightInd/>
        <w:snapToGrid w:val="0"/>
        <w:spacing w:after="0"/>
        <w:ind w:left="2381" w:hanging="363"/>
        <w:contextualSpacing w:val="0"/>
        <w:textAlignment w:val="auto"/>
        <w:rPr>
          <w:szCs w:val="21"/>
          <w:highlight w:val="none"/>
        </w:rPr>
      </w:pPr>
      <w:r>
        <w:rPr>
          <w:szCs w:val="21"/>
          <w:highlight w:val="none"/>
        </w:rPr>
        <w:t>Define the relaxation on T</w:t>
      </w:r>
      <w:r>
        <w:rPr>
          <w:szCs w:val="21"/>
          <w:highlight w:val="none"/>
          <w:vertAlign w:val="subscript"/>
        </w:rPr>
        <w:t>identify-NR</w:t>
      </w:r>
      <w:r>
        <w:rPr>
          <w:szCs w:val="21"/>
          <w:highlight w:val="none"/>
        </w:rPr>
        <w:t xml:space="preserve"> for FR1, and the same relaxation for 1 Rx RedCap UE in TN network can be reused.</w:t>
      </w:r>
    </w:p>
    <w:p w14:paraId="7FD04C8E">
      <w:pPr>
        <w:pStyle w:val="29"/>
        <w:numPr>
          <w:ilvl w:val="3"/>
          <w:numId w:val="6"/>
        </w:numPr>
        <w:ind w:hanging="357"/>
        <w:contextualSpacing w:val="0"/>
        <w:rPr>
          <w:szCs w:val="21"/>
          <w:highlight w:val="none"/>
        </w:rPr>
      </w:pPr>
      <w:r>
        <w:rPr>
          <w:szCs w:val="21"/>
          <w:highlight w:val="none"/>
        </w:rPr>
        <w:t>R</w:t>
      </w:r>
      <w:r>
        <w:rPr>
          <w:rFonts w:eastAsia="Calibri"/>
          <w:szCs w:val="21"/>
          <w:highlight w:val="none"/>
          <w:lang w:eastAsia="en-US"/>
        </w:rPr>
        <w:t>elax the T</w:t>
      </w:r>
      <w:r>
        <w:rPr>
          <w:rFonts w:eastAsia="Calibri"/>
          <w:szCs w:val="21"/>
          <w:highlight w:val="none"/>
          <w:vertAlign w:val="subscript"/>
          <w:lang w:eastAsia="en-US"/>
        </w:rPr>
        <w:t xml:space="preserve">identify-NR </w:t>
      </w:r>
      <w:r>
        <w:rPr>
          <w:rFonts w:eastAsia="Calibri"/>
          <w:szCs w:val="21"/>
          <w:highlight w:val="none"/>
          <w:lang w:eastAsia="en-US"/>
        </w:rPr>
        <w:t xml:space="preserve">by 1 more samples </w:t>
      </w:r>
      <w:r>
        <w:rPr>
          <w:szCs w:val="21"/>
          <w:highlight w:val="none"/>
        </w:rPr>
        <w:t xml:space="preserve">for </w:t>
      </w:r>
      <w:r>
        <w:rPr>
          <w:rFonts w:eastAsia="Calibri"/>
          <w:szCs w:val="21"/>
          <w:highlight w:val="none"/>
          <w:lang w:eastAsia="en-US"/>
        </w:rPr>
        <w:t xml:space="preserve">FR1. </w:t>
      </w:r>
    </w:p>
    <w:p w14:paraId="30AACA0D">
      <w:pPr>
        <w:pStyle w:val="29"/>
        <w:numPr>
          <w:ilvl w:val="0"/>
          <w:numId w:val="0"/>
        </w:numPr>
        <w:snapToGrid w:val="0"/>
        <w:ind w:left="2016" w:leftChars="0"/>
        <w:contextualSpacing w:val="0"/>
        <w:rPr>
          <w:szCs w:val="21"/>
          <w:highlight w:val="none"/>
        </w:rPr>
      </w:pPr>
    </w:p>
    <w:p w14:paraId="04BDB3B1">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1-8</w:t>
      </w:r>
      <w:r>
        <w:rPr>
          <w:rFonts w:ascii="Times New Roman" w:hAnsi="Times New Roman" w:cs="Times New Roman"/>
          <w:sz w:val="20"/>
          <w:u w:val="single"/>
          <w:lang w:eastAsia="ko-KR"/>
        </w:rPr>
        <w:t>: RA</w:t>
      </w:r>
      <w:r>
        <w:rPr>
          <w:rFonts w:hint="eastAsia" w:ascii="Times New Roman" w:hAnsi="Times New Roman" w:cs="Times New Roman"/>
          <w:sz w:val="20"/>
          <w:u w:val="single"/>
        </w:rPr>
        <w:t xml:space="preserve"> requirements </w:t>
      </w:r>
      <w:r>
        <w:rPr>
          <w:rFonts w:ascii="Times New Roman" w:hAnsi="Times New Roman" w:cs="Times New Roman"/>
          <w:sz w:val="20"/>
          <w:u w:val="single"/>
          <w:lang w:eastAsia="ko-KR"/>
        </w:rPr>
        <w:t>for 1Rx/2Rx (e)RedCap UEs with FR1-NTN</w:t>
      </w:r>
    </w:p>
    <w:p w14:paraId="0FDD0680">
      <w:pPr>
        <w:rPr>
          <w:lang w:eastAsia="ko-KR"/>
        </w:rPr>
      </w:pPr>
      <w:r>
        <w:rPr>
          <w:rFonts w:hint="eastAsia" w:cs="Times New Roman"/>
          <w:i/>
          <w:iCs/>
          <w:color w:val="0070C0"/>
          <w:sz w:val="20"/>
          <w:u w:val="none"/>
          <w:lang w:val="en-US" w:eastAsia="zh-CN"/>
        </w:rPr>
        <w:t>Online agreement</w:t>
      </w:r>
    </w:p>
    <w:p w14:paraId="00AC678B">
      <w:pPr>
        <w:snapToGrid w:val="0"/>
        <w:spacing w:after="120"/>
        <w:rPr>
          <w:rFonts w:ascii="Times New Roman" w:hAnsi="Times New Roman" w:cs="Times New Roman" w:eastAsiaTheme="minorEastAsia"/>
          <w:iCs/>
          <w:color w:val="0070C0"/>
          <w:sz w:val="20"/>
          <w:szCs w:val="20"/>
        </w:rPr>
      </w:pPr>
      <w:r>
        <w:rPr>
          <w:b/>
          <w:szCs w:val="24"/>
          <w:highlight w:val="green"/>
          <w:lang w:eastAsia="zh-CN"/>
        </w:rPr>
        <w:t>&lt; Agreement &gt;</w:t>
      </w:r>
      <w:r>
        <w:rPr>
          <w:rFonts w:hint="eastAsia"/>
          <w:b/>
          <w:szCs w:val="24"/>
          <w:highlight w:val="green"/>
          <w:lang w:val="en-US" w:eastAsia="zh-CN"/>
        </w:rPr>
        <w:t>:</w:t>
      </w:r>
    </w:p>
    <w:p w14:paraId="6068E664">
      <w:pPr>
        <w:pStyle w:val="29"/>
        <w:numPr>
          <w:ilvl w:val="1"/>
          <w:numId w:val="6"/>
        </w:numPr>
        <w:spacing w:after="120"/>
        <w:ind w:left="1655" w:hanging="357"/>
        <w:contextualSpacing w:val="0"/>
        <w:rPr>
          <w:iCs/>
          <w:szCs w:val="21"/>
          <w:highlight w:val="none"/>
        </w:rPr>
      </w:pPr>
      <w:r>
        <w:rPr>
          <w:iCs/>
          <w:szCs w:val="21"/>
          <w:highlight w:val="none"/>
        </w:rPr>
        <w:t>For 2Rx (e)RedCap UEs with FR1-NTN bands,</w:t>
      </w:r>
      <w:r>
        <w:rPr>
          <w:szCs w:val="21"/>
          <w:highlight w:val="none"/>
        </w:rPr>
        <w:t xml:space="preserve"> </w:t>
      </w:r>
      <w:r>
        <w:rPr>
          <w:iCs/>
          <w:szCs w:val="21"/>
          <w:highlight w:val="none"/>
        </w:rPr>
        <w:t xml:space="preserve">RAN4 to reuse the legacy </w:t>
      </w:r>
      <w:r>
        <w:rPr>
          <w:szCs w:val="21"/>
          <w:highlight w:val="none"/>
        </w:rPr>
        <w:t>random access requirements</w:t>
      </w:r>
      <w:r>
        <w:rPr>
          <w:iCs/>
          <w:szCs w:val="21"/>
          <w:highlight w:val="none"/>
        </w:rPr>
        <w:t xml:space="preserve"> defined for normal UEs with FR1-NTN.</w:t>
      </w:r>
    </w:p>
    <w:p w14:paraId="15801520">
      <w:pPr>
        <w:pStyle w:val="29"/>
        <w:numPr>
          <w:ilvl w:val="1"/>
          <w:numId w:val="6"/>
        </w:numPr>
        <w:spacing w:after="120"/>
        <w:ind w:left="1655" w:hanging="357"/>
        <w:contextualSpacing w:val="0"/>
        <w:rPr>
          <w:iCs/>
          <w:szCs w:val="21"/>
          <w:highlight w:val="none"/>
        </w:rPr>
      </w:pPr>
      <w:r>
        <w:rPr>
          <w:iCs/>
          <w:szCs w:val="21"/>
          <w:highlight w:val="none"/>
        </w:rPr>
        <w:t xml:space="preserve">For 1Rx (e)RedCap UEs with FR1-NTN bands, </w:t>
      </w:r>
      <w:r>
        <w:rPr>
          <w:szCs w:val="21"/>
          <w:highlight w:val="none"/>
        </w:rPr>
        <w:t>RAN4 to consider the offset for the following relative cell-specific RSRP thresholds for random access requirements</w:t>
      </w:r>
    </w:p>
    <w:p w14:paraId="2FA61579">
      <w:pPr>
        <w:pStyle w:val="29"/>
        <w:keepNext w:val="0"/>
        <w:keepLines w:val="0"/>
        <w:pageBreakBefore w:val="0"/>
        <w:widowControl/>
        <w:numPr>
          <w:ilvl w:val="2"/>
          <w:numId w:val="6"/>
        </w:numPr>
        <w:kinsoku/>
        <w:wordWrap/>
        <w:overflowPunct/>
        <w:topLinePunct w:val="0"/>
        <w:autoSpaceDE/>
        <w:autoSpaceDN/>
        <w:bidi w:val="0"/>
        <w:adjustRightInd/>
        <w:snapToGrid w:val="0"/>
        <w:spacing w:after="0"/>
        <w:ind w:left="2381" w:hanging="363"/>
        <w:contextualSpacing w:val="0"/>
        <w:textAlignment w:val="auto"/>
        <w:rPr>
          <w:szCs w:val="21"/>
          <w:highlight w:val="none"/>
        </w:rPr>
      </w:pPr>
      <w:r>
        <w:rPr>
          <w:szCs w:val="21"/>
          <w:highlight w:val="none"/>
        </w:rPr>
        <w:t xml:space="preserve">+1 dB offset can be reused as a baseline for </w:t>
      </w:r>
      <w:r>
        <w:rPr>
          <w:i/>
          <w:szCs w:val="21"/>
          <w:highlight w:val="none"/>
        </w:rPr>
        <w:t>rsrp-ThresholdSSB</w:t>
      </w:r>
      <w:r>
        <w:rPr>
          <w:szCs w:val="21"/>
          <w:highlight w:val="none"/>
        </w:rPr>
        <w:t xml:space="preserve">, </w:t>
      </w:r>
      <w:r>
        <w:rPr>
          <w:i/>
          <w:szCs w:val="21"/>
          <w:highlight w:val="none"/>
        </w:rPr>
        <w:t>msgA-RSRP-ThresholdSSB</w:t>
      </w:r>
      <w:r>
        <w:rPr>
          <w:szCs w:val="21"/>
          <w:highlight w:val="none"/>
        </w:rPr>
        <w:t xml:space="preserve"> and </w:t>
      </w:r>
      <w:r>
        <w:rPr>
          <w:i/>
          <w:szCs w:val="21"/>
          <w:highlight w:val="none"/>
        </w:rPr>
        <w:t>msgA-RSRP-Threshold</w:t>
      </w:r>
      <w:r>
        <w:rPr>
          <w:szCs w:val="21"/>
          <w:highlight w:val="none"/>
        </w:rPr>
        <w:t>.</w:t>
      </w:r>
    </w:p>
    <w:p w14:paraId="77CD8A02">
      <w:pPr>
        <w:pStyle w:val="29"/>
        <w:keepNext w:val="0"/>
        <w:keepLines w:val="0"/>
        <w:pageBreakBefore w:val="0"/>
        <w:widowControl/>
        <w:numPr>
          <w:ilvl w:val="2"/>
          <w:numId w:val="6"/>
        </w:numPr>
        <w:kinsoku/>
        <w:wordWrap/>
        <w:overflowPunct/>
        <w:topLinePunct w:val="0"/>
        <w:autoSpaceDE/>
        <w:autoSpaceDN/>
        <w:bidi w:val="0"/>
        <w:adjustRightInd/>
        <w:snapToGrid w:val="0"/>
        <w:spacing w:after="0"/>
        <w:ind w:left="2381" w:hanging="363"/>
        <w:contextualSpacing w:val="0"/>
        <w:textAlignment w:val="auto"/>
      </w:pPr>
      <w:r>
        <w:rPr>
          <w:szCs w:val="21"/>
          <w:highlight w:val="none"/>
        </w:rPr>
        <w:t xml:space="preserve">-1 dB offset can be reused as a baseline for </w:t>
      </w:r>
      <w:r>
        <w:rPr>
          <w:i/>
          <w:szCs w:val="21"/>
          <w:highlight w:val="none"/>
        </w:rPr>
        <w:t>rsrp-ThresholdMsg3</w:t>
      </w:r>
      <w:r>
        <w:rPr>
          <w:szCs w:val="21"/>
          <w:highlight w:val="none"/>
        </w:rPr>
        <w:t>.</w:t>
      </w:r>
    </w:p>
    <w:p w14:paraId="21895FF0">
      <w:pPr>
        <w:spacing w:after="120"/>
        <w:rPr>
          <w:rFonts w:ascii="Times New Roman" w:hAnsi="Times New Roman" w:cs="Times New Roman" w:eastAsiaTheme="minorEastAsia"/>
          <w:iCs/>
          <w:sz w:val="20"/>
          <w:szCs w:val="20"/>
          <w:highlight w:val="yellow"/>
        </w:rPr>
      </w:pPr>
    </w:p>
    <w:p w14:paraId="175FD0EE">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2</w:t>
      </w:r>
      <w:r>
        <w:rPr>
          <w:rFonts w:ascii="Times New Roman" w:hAnsi="Times New Roman" w:cs="Times New Roman"/>
          <w:sz w:val="24"/>
          <w:szCs w:val="16"/>
        </w:rPr>
        <w:t>-</w:t>
      </w:r>
      <w:r>
        <w:rPr>
          <w:rFonts w:hint="eastAsia" w:ascii="Times New Roman" w:hAnsi="Times New Roman" w:cs="Times New Roman"/>
          <w:sz w:val="24"/>
          <w:szCs w:val="16"/>
        </w:rPr>
        <w:t>2</w:t>
      </w:r>
      <w:r>
        <w:rPr>
          <w:rFonts w:ascii="Times New Roman" w:hAnsi="Times New Roman" w:cs="Times New Roman"/>
          <w:sz w:val="24"/>
          <w:szCs w:val="16"/>
        </w:rPr>
        <w:t xml:space="preserve"> </w:t>
      </w:r>
      <w:r>
        <w:rPr>
          <w:rFonts w:hint="eastAsia" w:ascii="Times New Roman" w:hAnsi="Times New Roman" w:cs="Times New Roman"/>
          <w:sz w:val="24"/>
          <w:szCs w:val="16"/>
        </w:rPr>
        <w:t>T</w:t>
      </w:r>
      <w:r>
        <w:rPr>
          <w:rFonts w:ascii="Times New Roman" w:hAnsi="Times New Roman" w:cs="Times New Roman"/>
          <w:sz w:val="24"/>
          <w:szCs w:val="16"/>
        </w:rPr>
        <w:t>iming</w:t>
      </w:r>
      <w:r>
        <w:rPr>
          <w:rFonts w:hint="eastAsia" w:ascii="Times New Roman" w:hAnsi="Times New Roman" w:cs="Times New Roman"/>
          <w:sz w:val="24"/>
          <w:szCs w:val="16"/>
        </w:rPr>
        <w:t xml:space="preserve"> for 1Rx/2Rx</w:t>
      </w:r>
      <w:r>
        <w:rPr>
          <w:rFonts w:ascii="Times New Roman" w:hAnsi="Times New Roman" w:cs="Times New Roman"/>
          <w:sz w:val="24"/>
          <w:szCs w:val="16"/>
        </w:rPr>
        <w:t xml:space="preserve"> (e)RedCap UEs with FR1-NTN</w:t>
      </w:r>
    </w:p>
    <w:p w14:paraId="74C8D245">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2-1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T</w:t>
      </w:r>
      <w:r>
        <w:rPr>
          <w:rFonts w:ascii="Times New Roman" w:hAnsi="Times New Roman" w:cs="Times New Roman"/>
          <w:sz w:val="20"/>
          <w:u w:val="single"/>
        </w:rPr>
        <w:t xml:space="preserve">iming </w:t>
      </w:r>
      <w:r>
        <w:rPr>
          <w:rFonts w:hint="eastAsia" w:ascii="Times New Roman" w:hAnsi="Times New Roman" w:cs="Times New Roman"/>
          <w:sz w:val="20"/>
          <w:u w:val="single"/>
        </w:rPr>
        <w:t xml:space="preserve">requirements </w:t>
      </w:r>
      <w:r>
        <w:rPr>
          <w:rFonts w:ascii="Times New Roman" w:hAnsi="Times New Roman" w:cs="Times New Roman"/>
          <w:sz w:val="20"/>
          <w:u w:val="single"/>
          <w:lang w:eastAsia="ko-KR"/>
        </w:rPr>
        <w:t>for 1Rx</w:t>
      </w:r>
      <w:r>
        <w:rPr>
          <w:rFonts w:hint="eastAsia" w:ascii="Times New Roman" w:hAnsi="Times New Roman" w:cs="Times New Roman"/>
          <w:sz w:val="20"/>
          <w:u w:val="single"/>
        </w:rPr>
        <w:t>/2Rx</w:t>
      </w:r>
      <w:r>
        <w:rPr>
          <w:rFonts w:ascii="Times New Roman" w:hAnsi="Times New Roman" w:cs="Times New Roman"/>
          <w:sz w:val="20"/>
          <w:u w:val="single"/>
          <w:lang w:eastAsia="ko-KR"/>
        </w:rPr>
        <w:t xml:space="preserve"> (e)RedCap UEs with FR1-NTN</w:t>
      </w:r>
    </w:p>
    <w:p w14:paraId="46A2A5C6">
      <w:pPr>
        <w:rPr>
          <w:lang w:val="en-GB"/>
        </w:rPr>
      </w:pPr>
      <w:r>
        <w:rPr>
          <w:rFonts w:hint="eastAsia" w:cs="Times New Roman"/>
          <w:i/>
          <w:iCs/>
          <w:color w:val="0070C0"/>
          <w:sz w:val="20"/>
          <w:u w:val="none"/>
          <w:lang w:val="en-US" w:eastAsia="zh-CN"/>
        </w:rPr>
        <w:t>Online agreement</w:t>
      </w:r>
    </w:p>
    <w:p w14:paraId="16E4614C">
      <w:pPr>
        <w:snapToGrid w:val="0"/>
        <w:spacing w:after="120"/>
        <w:rPr>
          <w:rFonts w:ascii="Times New Roman" w:hAnsi="Times New Roman" w:cs="Times New Roman" w:eastAsiaTheme="minorEastAsia"/>
          <w:iCs/>
          <w:color w:val="0070C0"/>
          <w:sz w:val="20"/>
          <w:szCs w:val="20"/>
        </w:rPr>
      </w:pPr>
      <w:r>
        <w:rPr>
          <w:b/>
          <w:szCs w:val="24"/>
          <w:highlight w:val="green"/>
          <w:lang w:eastAsia="zh-CN"/>
        </w:rPr>
        <w:t>&lt; Agreement &gt;</w:t>
      </w:r>
      <w:r>
        <w:rPr>
          <w:rFonts w:hint="eastAsia"/>
          <w:b/>
          <w:szCs w:val="24"/>
          <w:highlight w:val="green"/>
          <w:lang w:val="en-US" w:eastAsia="zh-CN"/>
        </w:rPr>
        <w:t>:</w:t>
      </w:r>
    </w:p>
    <w:p w14:paraId="40270F85">
      <w:pPr>
        <w:pStyle w:val="29"/>
        <w:numPr>
          <w:ilvl w:val="1"/>
          <w:numId w:val="6"/>
        </w:numPr>
        <w:spacing w:after="120"/>
        <w:contextualSpacing w:val="0"/>
        <w:rPr>
          <w:iCs/>
          <w:szCs w:val="21"/>
          <w:highlight w:val="none"/>
        </w:rPr>
      </w:pPr>
      <w:r>
        <w:rPr>
          <w:iCs/>
          <w:szCs w:val="21"/>
          <w:highlight w:val="none"/>
        </w:rPr>
        <w:t>The existing timing requirements defined for NTN can be reused for (e)RedCap UEs with FR1-NTN bands.</w:t>
      </w:r>
    </w:p>
    <w:p w14:paraId="605DEE46">
      <w:pPr>
        <w:pStyle w:val="29"/>
        <w:numPr>
          <w:ilvl w:val="2"/>
          <w:numId w:val="6"/>
        </w:numPr>
        <w:rPr>
          <w:iCs/>
          <w:szCs w:val="21"/>
          <w:highlight w:val="none"/>
        </w:rPr>
      </w:pPr>
      <w:r>
        <w:rPr>
          <w:iCs/>
          <w:szCs w:val="21"/>
          <w:highlight w:val="none"/>
        </w:rPr>
        <w:t>UE transmit timing</w:t>
      </w:r>
    </w:p>
    <w:p w14:paraId="1F7E4DFB">
      <w:pPr>
        <w:pStyle w:val="29"/>
        <w:numPr>
          <w:ilvl w:val="2"/>
          <w:numId w:val="6"/>
        </w:numPr>
        <w:rPr>
          <w:iCs/>
          <w:szCs w:val="21"/>
          <w:highlight w:val="none"/>
        </w:rPr>
      </w:pPr>
      <w:r>
        <w:rPr>
          <w:iCs/>
          <w:szCs w:val="21"/>
          <w:highlight w:val="none"/>
        </w:rPr>
        <w:t>UE timer accuracy</w:t>
      </w:r>
    </w:p>
    <w:p w14:paraId="065363CC">
      <w:pPr>
        <w:pStyle w:val="29"/>
        <w:numPr>
          <w:ilvl w:val="2"/>
          <w:numId w:val="6"/>
        </w:numPr>
        <w:rPr>
          <w:iCs/>
          <w:szCs w:val="21"/>
          <w:highlight w:val="none"/>
        </w:rPr>
      </w:pPr>
      <w:r>
        <w:rPr>
          <w:iCs/>
          <w:szCs w:val="21"/>
          <w:highlight w:val="none"/>
        </w:rPr>
        <w:t>Timing Advance</w:t>
      </w:r>
    </w:p>
    <w:p w14:paraId="52681AFB">
      <w:pPr>
        <w:pStyle w:val="29"/>
        <w:keepNext w:val="0"/>
        <w:keepLines w:val="0"/>
        <w:pageBreakBefore w:val="0"/>
        <w:widowControl/>
        <w:numPr>
          <w:ilvl w:val="1"/>
          <w:numId w:val="6"/>
        </w:numPr>
        <w:kinsoku/>
        <w:wordWrap/>
        <w:overflowPunct/>
        <w:topLinePunct w:val="0"/>
        <w:autoSpaceDE/>
        <w:autoSpaceDN/>
        <w:bidi w:val="0"/>
        <w:adjustRightInd/>
        <w:snapToGrid/>
        <w:spacing w:before="137" w:beforeLines="50" w:after="120"/>
        <w:ind w:left="1661" w:hanging="363"/>
        <w:contextualSpacing w:val="0"/>
        <w:textAlignment w:val="auto"/>
        <w:rPr>
          <w:iCs/>
          <w:szCs w:val="21"/>
          <w:highlight w:val="none"/>
        </w:rPr>
      </w:pPr>
      <w:r>
        <w:rPr>
          <w:iCs/>
          <w:szCs w:val="21"/>
          <w:highlight w:val="none"/>
        </w:rPr>
        <w:t>The timing requirements defined for 1Rx and 2Rx (e)RedCap UEs with FR1-NTN bands will be the same, and there is no need to differentiate 1Rx/2Rx requirements.</w:t>
      </w:r>
    </w:p>
    <w:p w14:paraId="34986597">
      <w:pPr>
        <w:pStyle w:val="29"/>
        <w:numPr>
          <w:ilvl w:val="0"/>
          <w:numId w:val="0"/>
        </w:numPr>
        <w:spacing w:after="120"/>
        <w:ind w:left="1296" w:leftChars="0"/>
        <w:contextualSpacing w:val="0"/>
        <w:rPr>
          <w:iCs/>
          <w:szCs w:val="21"/>
          <w:highlight w:val="none"/>
        </w:rPr>
      </w:pPr>
    </w:p>
    <w:p w14:paraId="325FC31B">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2</w:t>
      </w:r>
      <w:r>
        <w:rPr>
          <w:rFonts w:ascii="Times New Roman" w:hAnsi="Times New Roman" w:cs="Times New Roman"/>
          <w:sz w:val="24"/>
          <w:szCs w:val="16"/>
        </w:rPr>
        <w:t>-</w:t>
      </w:r>
      <w:r>
        <w:rPr>
          <w:rFonts w:hint="eastAsia" w:ascii="Times New Roman" w:hAnsi="Times New Roman" w:cs="Times New Roman"/>
          <w:sz w:val="24"/>
          <w:szCs w:val="16"/>
        </w:rPr>
        <w:t>3</w:t>
      </w:r>
      <w:r>
        <w:rPr>
          <w:rFonts w:ascii="Times New Roman" w:hAnsi="Times New Roman" w:cs="Times New Roman"/>
          <w:sz w:val="24"/>
          <w:szCs w:val="16"/>
        </w:rPr>
        <w:t xml:space="preserve"> </w:t>
      </w:r>
      <w:r>
        <w:rPr>
          <w:rFonts w:hint="eastAsia" w:ascii="Times New Roman" w:hAnsi="Times New Roman" w:cs="Times New Roman"/>
          <w:sz w:val="24"/>
          <w:szCs w:val="16"/>
        </w:rPr>
        <w:t>S</w:t>
      </w:r>
      <w:r>
        <w:rPr>
          <w:rFonts w:ascii="Times New Roman" w:hAnsi="Times New Roman" w:cs="Times New Roman"/>
          <w:sz w:val="24"/>
          <w:szCs w:val="16"/>
        </w:rPr>
        <w:t>ignaling characteristics</w:t>
      </w:r>
      <w:r>
        <w:rPr>
          <w:rFonts w:hint="eastAsia" w:ascii="Times New Roman" w:hAnsi="Times New Roman" w:cs="Times New Roman"/>
          <w:sz w:val="24"/>
          <w:szCs w:val="16"/>
        </w:rPr>
        <w:t xml:space="preserve"> for 1Rx/2Rx</w:t>
      </w:r>
      <w:r>
        <w:rPr>
          <w:rFonts w:ascii="Times New Roman" w:hAnsi="Times New Roman" w:cs="Times New Roman"/>
          <w:sz w:val="24"/>
          <w:szCs w:val="16"/>
        </w:rPr>
        <w:t xml:space="preserve"> (e)RedCap UEs with FR1-NTN</w:t>
      </w:r>
    </w:p>
    <w:p w14:paraId="12FB1EB8">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3-1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RLM/BFD/CBD</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 xml:space="preserve">requirements </w:t>
      </w:r>
      <w:r>
        <w:rPr>
          <w:rFonts w:ascii="Times New Roman" w:hAnsi="Times New Roman" w:cs="Times New Roman"/>
          <w:sz w:val="20"/>
          <w:u w:val="single"/>
          <w:lang w:eastAsia="ko-KR"/>
        </w:rPr>
        <w:t>for 1Rx/2Rx (e)RedCap UEs with FR1-NTN</w:t>
      </w:r>
    </w:p>
    <w:p w14:paraId="564F12D4">
      <w:pPr>
        <w:rPr>
          <w:lang w:eastAsia="ko-KR"/>
        </w:rPr>
      </w:pPr>
      <w:r>
        <w:rPr>
          <w:rFonts w:hint="eastAsia" w:cs="Times New Roman"/>
          <w:i/>
          <w:iCs/>
          <w:color w:val="0070C0"/>
          <w:sz w:val="20"/>
          <w:u w:val="none"/>
          <w:lang w:val="en-US" w:eastAsia="zh-CN"/>
        </w:rPr>
        <w:t>Online agreement</w:t>
      </w:r>
    </w:p>
    <w:p w14:paraId="5CEAEE29">
      <w:pPr>
        <w:snapToGrid w:val="0"/>
        <w:spacing w:after="120"/>
        <w:rPr>
          <w:lang w:eastAsia="ko-KR"/>
        </w:rPr>
      </w:pPr>
      <w:r>
        <w:rPr>
          <w:b/>
          <w:szCs w:val="24"/>
          <w:highlight w:val="green"/>
          <w:lang w:eastAsia="zh-CN"/>
        </w:rPr>
        <w:t>&lt; Agreement &gt;</w:t>
      </w:r>
      <w:r>
        <w:rPr>
          <w:rFonts w:hint="eastAsia"/>
          <w:b/>
          <w:szCs w:val="24"/>
          <w:highlight w:val="green"/>
          <w:lang w:val="en-US" w:eastAsia="zh-CN"/>
        </w:rPr>
        <w:t>:</w:t>
      </w:r>
    </w:p>
    <w:p w14:paraId="45389C5D">
      <w:pPr>
        <w:pStyle w:val="29"/>
        <w:numPr>
          <w:ilvl w:val="1"/>
          <w:numId w:val="6"/>
        </w:numPr>
        <w:spacing w:after="120"/>
        <w:contextualSpacing w:val="0"/>
        <w:rPr>
          <w:iCs/>
          <w:szCs w:val="21"/>
          <w:highlight w:val="none"/>
        </w:rPr>
      </w:pPr>
      <w:r>
        <w:rPr>
          <w:iCs/>
          <w:szCs w:val="21"/>
          <w:highlight w:val="none"/>
        </w:rPr>
        <w:t>For 2Rx (e)RedCap UEs with FR1-NTN bands, RAN4 to reuse the legacy FR1-NTN RLM/BFD/CBD requirements for normal UEs in high level.</w:t>
      </w:r>
    </w:p>
    <w:p w14:paraId="40BD797E">
      <w:pPr>
        <w:pStyle w:val="29"/>
        <w:keepNext w:val="0"/>
        <w:keepLines w:val="0"/>
        <w:pageBreakBefore w:val="0"/>
        <w:widowControl/>
        <w:numPr>
          <w:ilvl w:val="2"/>
          <w:numId w:val="6"/>
        </w:numPr>
        <w:kinsoku/>
        <w:wordWrap/>
        <w:overflowPunct/>
        <w:topLinePunct w:val="0"/>
        <w:autoSpaceDE/>
        <w:autoSpaceDN/>
        <w:bidi w:val="0"/>
        <w:adjustRightInd/>
        <w:snapToGrid w:val="0"/>
        <w:ind w:left="2381" w:hanging="363"/>
        <w:textAlignment w:val="auto"/>
        <w:rPr>
          <w:iCs/>
          <w:szCs w:val="21"/>
          <w:highlight w:val="none"/>
        </w:rPr>
      </w:pPr>
      <w:r>
        <w:rPr>
          <w:iCs/>
          <w:szCs w:val="21"/>
          <w:highlight w:val="none"/>
        </w:rPr>
        <w:t>Depend on the supported UE capabilities, the existing NR NTN requirements may need be revised.</w:t>
      </w:r>
    </w:p>
    <w:p w14:paraId="0436F453">
      <w:pPr>
        <w:pStyle w:val="29"/>
        <w:keepNext w:val="0"/>
        <w:keepLines w:val="0"/>
        <w:pageBreakBefore w:val="0"/>
        <w:widowControl/>
        <w:numPr>
          <w:ilvl w:val="1"/>
          <w:numId w:val="6"/>
        </w:numPr>
        <w:kinsoku/>
        <w:wordWrap/>
        <w:overflowPunct/>
        <w:topLinePunct w:val="0"/>
        <w:autoSpaceDE/>
        <w:autoSpaceDN/>
        <w:bidi w:val="0"/>
        <w:adjustRightInd/>
        <w:snapToGrid w:val="0"/>
        <w:spacing w:before="137" w:beforeLines="50" w:after="120"/>
        <w:ind w:left="1661" w:hanging="363"/>
        <w:contextualSpacing w:val="0"/>
        <w:textAlignment w:val="auto"/>
        <w:rPr>
          <w:iCs/>
          <w:szCs w:val="21"/>
          <w:highlight w:val="none"/>
        </w:rPr>
      </w:pPr>
      <w:r>
        <w:rPr>
          <w:iCs/>
          <w:szCs w:val="21"/>
          <w:highlight w:val="none"/>
        </w:rPr>
        <w:t>For 1Rx (e)RedCap UEs with FR1-NTN bands,</w:t>
      </w:r>
    </w:p>
    <w:p w14:paraId="4D87A500">
      <w:pPr>
        <w:pStyle w:val="29"/>
        <w:numPr>
          <w:ilvl w:val="2"/>
          <w:numId w:val="6"/>
        </w:numPr>
        <w:rPr>
          <w:iCs/>
          <w:szCs w:val="21"/>
          <w:highlight w:val="none"/>
        </w:rPr>
      </w:pPr>
      <w:r>
        <w:rPr>
          <w:iCs/>
          <w:szCs w:val="21"/>
          <w:highlight w:val="none"/>
        </w:rPr>
        <w:t>For SSB based and CSI-RS based RLM/BFD requirements, some of hypothetical PDCCH parameters including aggregation level (CCE) and bandwidth (PRBs) are defined as follows:</w:t>
      </w:r>
    </w:p>
    <w:p w14:paraId="3280CA7A">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Aggregation level (CCE) of 16.</w:t>
      </w:r>
    </w:p>
    <w:p w14:paraId="61AC1E49">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Bandwidth (PRBs) of 48.</w:t>
      </w:r>
    </w:p>
    <w:p w14:paraId="76BD81DD">
      <w:pPr>
        <w:pStyle w:val="29"/>
        <w:numPr>
          <w:ilvl w:val="2"/>
          <w:numId w:val="6"/>
        </w:numPr>
        <w:rPr>
          <w:iCs/>
          <w:szCs w:val="21"/>
          <w:highlight w:val="none"/>
        </w:rPr>
      </w:pPr>
      <w:r>
        <w:rPr>
          <w:iCs/>
          <w:szCs w:val="21"/>
          <w:highlight w:val="none"/>
        </w:rPr>
        <w:t>For SSB based and CSI-RS based RLM/BFD requirements, SCS=60kHz is not applicable for (e)RedCap UEs with FR1-NTN.</w:t>
      </w:r>
    </w:p>
    <w:p w14:paraId="70FCD466">
      <w:pPr>
        <w:pStyle w:val="29"/>
        <w:numPr>
          <w:ilvl w:val="2"/>
          <w:numId w:val="6"/>
        </w:numPr>
        <w:rPr>
          <w:iCs/>
          <w:szCs w:val="21"/>
          <w:highlight w:val="none"/>
        </w:rPr>
      </w:pPr>
      <w:r>
        <w:rPr>
          <w:iCs/>
          <w:szCs w:val="21"/>
          <w:highlight w:val="none"/>
        </w:rPr>
        <w:t>The SSB and CSI-RS based RLM OOS and BFD evaluation periods should be extended for 1Rx (e)RedCap UEs with FR1-NTN bands compared to those defined for 2Rx (e)RedCap UEs.</w:t>
      </w:r>
    </w:p>
    <w:p w14:paraId="7C6FBBBA">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 xml:space="preserve">For RLM evaluation periods, </w:t>
      </w:r>
    </w:p>
    <w:p w14:paraId="7EE31B6B">
      <w:pPr>
        <w:pStyle w:val="29"/>
        <w:widowControl w:val="0"/>
        <w:numPr>
          <w:ilvl w:val="0"/>
          <w:numId w:val="13"/>
        </w:numPr>
        <w:snapToGrid w:val="0"/>
        <w:rPr>
          <w:szCs w:val="21"/>
          <w:highlight w:val="none"/>
        </w:rPr>
      </w:pPr>
      <w:r>
        <w:rPr>
          <w:szCs w:val="21"/>
          <w:highlight w:val="none"/>
        </w:rPr>
        <w:t>RAN4 not to extend the T</w:t>
      </w:r>
      <w:r>
        <w:rPr>
          <w:szCs w:val="21"/>
          <w:highlight w:val="none"/>
          <w:vertAlign w:val="subscript"/>
        </w:rPr>
        <w:t>Evaluate_in_SSB/CSI-RS</w:t>
      </w:r>
      <w:r>
        <w:rPr>
          <w:szCs w:val="21"/>
          <w:highlight w:val="none"/>
        </w:rPr>
        <w:t xml:space="preserve"> for FR1.</w:t>
      </w:r>
    </w:p>
    <w:p w14:paraId="5EC9451C">
      <w:pPr>
        <w:pStyle w:val="29"/>
        <w:widowControl w:val="0"/>
        <w:numPr>
          <w:ilvl w:val="0"/>
          <w:numId w:val="13"/>
        </w:numPr>
        <w:snapToGrid w:val="0"/>
        <w:ind w:left="3504"/>
        <w:rPr>
          <w:szCs w:val="21"/>
          <w:highlight w:val="none"/>
        </w:rPr>
      </w:pPr>
      <w:r>
        <w:rPr>
          <w:szCs w:val="21"/>
          <w:highlight w:val="none"/>
        </w:rPr>
        <w:t>RAN4 to extend the T</w:t>
      </w:r>
      <w:r>
        <w:rPr>
          <w:szCs w:val="21"/>
          <w:highlight w:val="none"/>
          <w:vertAlign w:val="subscript"/>
        </w:rPr>
        <w:t>Evaluate_out_SSB/CSI-RS</w:t>
      </w:r>
      <w:r>
        <w:rPr>
          <w:szCs w:val="21"/>
          <w:highlight w:val="none"/>
        </w:rPr>
        <w:t xml:space="preserve"> by factor 2 for FR1.</w:t>
      </w:r>
    </w:p>
    <w:p w14:paraId="12FC80B9">
      <w:pPr>
        <w:pStyle w:val="29"/>
        <w:keepNext w:val="0"/>
        <w:keepLines w:val="0"/>
        <w:pageBreakBefore w:val="0"/>
        <w:widowControl/>
        <w:numPr>
          <w:ilvl w:val="3"/>
          <w:numId w:val="6"/>
        </w:numPr>
        <w:kinsoku/>
        <w:wordWrap/>
        <w:overflowPunct/>
        <w:topLinePunct w:val="0"/>
        <w:autoSpaceDE/>
        <w:autoSpaceDN/>
        <w:bidi w:val="0"/>
        <w:adjustRightInd/>
        <w:snapToGrid/>
        <w:spacing w:after="0"/>
        <w:ind w:left="3101" w:hanging="363"/>
        <w:contextualSpacing w:val="0"/>
        <w:textAlignment w:val="auto"/>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 xml:space="preserve">For BFD evaluation periods, </w:t>
      </w:r>
    </w:p>
    <w:p w14:paraId="447A0F23">
      <w:pPr>
        <w:pStyle w:val="29"/>
        <w:widowControl w:val="0"/>
        <w:numPr>
          <w:ilvl w:val="0"/>
          <w:numId w:val="13"/>
        </w:numPr>
        <w:snapToGrid w:val="0"/>
        <w:rPr>
          <w:szCs w:val="21"/>
          <w:highlight w:val="none"/>
        </w:rPr>
      </w:pPr>
      <w:r>
        <w:rPr>
          <w:szCs w:val="21"/>
          <w:highlight w:val="none"/>
        </w:rPr>
        <w:t xml:space="preserve">RAN4 to extend the </w:t>
      </w:r>
      <w:r>
        <w:rPr>
          <w:szCs w:val="21"/>
          <w:highlight w:val="none"/>
          <w:lang w:eastAsia="ko-KR"/>
        </w:rPr>
        <w:t>T</w:t>
      </w:r>
      <w:r>
        <w:rPr>
          <w:szCs w:val="21"/>
          <w:highlight w:val="none"/>
          <w:vertAlign w:val="subscript"/>
          <w:lang w:eastAsia="ko-KR"/>
        </w:rPr>
        <w:t>Evaluate_BFD_SSB</w:t>
      </w:r>
      <w:r>
        <w:rPr>
          <w:szCs w:val="21"/>
          <w:highlight w:val="none"/>
          <w:vertAlign w:val="subscript"/>
        </w:rPr>
        <w:t xml:space="preserve">/CSI-RS </w:t>
      </w:r>
      <w:r>
        <w:rPr>
          <w:szCs w:val="21"/>
          <w:highlight w:val="none"/>
        </w:rPr>
        <w:t>by factor 2 for FR1.</w:t>
      </w:r>
    </w:p>
    <w:p w14:paraId="4A5675A4">
      <w:pPr>
        <w:snapToGrid w:val="0"/>
        <w:spacing w:after="120"/>
        <w:rPr>
          <w:rFonts w:ascii="Times New Roman" w:hAnsi="Times New Roman" w:cs="Times New Roman"/>
          <w:sz w:val="20"/>
        </w:rPr>
      </w:pPr>
    </w:p>
    <w:p w14:paraId="532B4E47">
      <w:pPr>
        <w:pStyle w:val="5"/>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3-2</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Other requirements</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in s</w:t>
      </w:r>
      <w:r>
        <w:rPr>
          <w:rFonts w:ascii="Times New Roman" w:hAnsi="Times New Roman" w:cs="Times New Roman"/>
          <w:sz w:val="20"/>
          <w:u w:val="single"/>
        </w:rPr>
        <w:t xml:space="preserve">ignaling characteristics </w:t>
      </w:r>
      <w:r>
        <w:rPr>
          <w:rFonts w:ascii="Times New Roman" w:hAnsi="Times New Roman" w:cs="Times New Roman"/>
          <w:sz w:val="20"/>
          <w:u w:val="single"/>
          <w:lang w:eastAsia="ko-KR"/>
        </w:rPr>
        <w:t>for 1Rx/2Rx (e)RedCap UEs with FR1-NTN</w:t>
      </w:r>
    </w:p>
    <w:p w14:paraId="75386046">
      <w:pPr>
        <w:rPr>
          <w:b/>
          <w:szCs w:val="24"/>
          <w:highlight w:val="green"/>
          <w:lang w:eastAsia="zh-CN"/>
        </w:rPr>
      </w:pPr>
      <w:r>
        <w:rPr>
          <w:rFonts w:hint="eastAsia" w:cs="Times New Roman"/>
          <w:i/>
          <w:iCs/>
          <w:color w:val="0070C0"/>
          <w:sz w:val="20"/>
          <w:u w:val="none"/>
          <w:lang w:val="en-US" w:eastAsia="zh-CN"/>
        </w:rPr>
        <w:t>Online agreement</w:t>
      </w:r>
    </w:p>
    <w:p w14:paraId="5944CBCD">
      <w:pPr>
        <w:snapToGrid w:val="0"/>
        <w:spacing w:after="120"/>
        <w:rPr>
          <w:lang w:val="en-GB"/>
        </w:rPr>
      </w:pPr>
      <w:r>
        <w:rPr>
          <w:b/>
          <w:szCs w:val="24"/>
          <w:highlight w:val="green"/>
          <w:lang w:eastAsia="zh-CN"/>
        </w:rPr>
        <w:t>&lt; Agreement &gt;</w:t>
      </w:r>
      <w:r>
        <w:rPr>
          <w:rFonts w:hint="eastAsia"/>
          <w:b/>
          <w:szCs w:val="24"/>
          <w:highlight w:val="green"/>
          <w:lang w:val="en-US" w:eastAsia="zh-CN"/>
        </w:rPr>
        <w:t>:</w:t>
      </w:r>
    </w:p>
    <w:p w14:paraId="4B9B6B4E">
      <w:pPr>
        <w:pStyle w:val="29"/>
        <w:numPr>
          <w:ilvl w:val="1"/>
          <w:numId w:val="6"/>
        </w:numPr>
        <w:spacing w:after="120"/>
        <w:contextualSpacing w:val="0"/>
        <w:rPr>
          <w:iCs/>
          <w:szCs w:val="21"/>
          <w:highlight w:val="none"/>
        </w:rPr>
      </w:pPr>
      <w:r>
        <w:rPr>
          <w:iCs/>
          <w:szCs w:val="21"/>
          <w:highlight w:val="none"/>
        </w:rPr>
        <w:t>The existing following requirements defined for NTN can be reused for (e)RedCap UEs with FR1-NTN bands:</w:t>
      </w:r>
    </w:p>
    <w:p w14:paraId="4169D531">
      <w:pPr>
        <w:pStyle w:val="29"/>
        <w:numPr>
          <w:ilvl w:val="2"/>
          <w:numId w:val="6"/>
        </w:numPr>
        <w:rPr>
          <w:iCs/>
          <w:szCs w:val="21"/>
          <w:highlight w:val="none"/>
        </w:rPr>
      </w:pPr>
      <w:r>
        <w:rPr>
          <w:iCs/>
          <w:szCs w:val="21"/>
          <w:highlight w:val="none"/>
        </w:rPr>
        <w:t xml:space="preserve">Active BWP switch delay, </w:t>
      </w:r>
    </w:p>
    <w:p w14:paraId="5C5C6816">
      <w:pPr>
        <w:pStyle w:val="29"/>
        <w:numPr>
          <w:ilvl w:val="2"/>
          <w:numId w:val="6"/>
        </w:numPr>
        <w:rPr>
          <w:iCs/>
          <w:szCs w:val="21"/>
          <w:highlight w:val="none"/>
        </w:rPr>
      </w:pPr>
      <w:r>
        <w:rPr>
          <w:iCs/>
          <w:szCs w:val="21"/>
          <w:highlight w:val="none"/>
        </w:rPr>
        <w:t>active TCI state switch delay</w:t>
      </w:r>
    </w:p>
    <w:p w14:paraId="450F1445">
      <w:pPr>
        <w:pStyle w:val="29"/>
        <w:numPr>
          <w:ilvl w:val="2"/>
          <w:numId w:val="6"/>
        </w:numPr>
        <w:rPr>
          <w:iCs/>
          <w:szCs w:val="21"/>
          <w:highlight w:val="none"/>
        </w:rPr>
      </w:pPr>
      <w:r>
        <w:rPr>
          <w:iCs/>
          <w:szCs w:val="21"/>
          <w:highlight w:val="none"/>
        </w:rPr>
        <w:t>UE specific CBW change requirements</w:t>
      </w:r>
    </w:p>
    <w:p w14:paraId="3806ACDC">
      <w:pPr>
        <w:pStyle w:val="29"/>
        <w:numPr>
          <w:ilvl w:val="2"/>
          <w:numId w:val="6"/>
        </w:numPr>
        <w:rPr>
          <w:iCs/>
          <w:szCs w:val="21"/>
          <w:highlight w:val="none"/>
        </w:rPr>
      </w:pPr>
      <w:r>
        <w:rPr>
          <w:iCs/>
          <w:szCs w:val="21"/>
          <w:highlight w:val="none"/>
        </w:rPr>
        <w:t>Pathloss reference signal switching delay</w:t>
      </w:r>
    </w:p>
    <w:p w14:paraId="7CAD5065">
      <w:pPr>
        <w:pStyle w:val="29"/>
        <w:numPr>
          <w:ilvl w:val="1"/>
          <w:numId w:val="6"/>
        </w:numPr>
        <w:spacing w:after="120"/>
        <w:contextualSpacing w:val="0"/>
        <w:rPr>
          <w:iCs/>
          <w:szCs w:val="21"/>
          <w:highlight w:val="none"/>
          <w:lang w:val="en-GB"/>
        </w:rPr>
      </w:pPr>
      <w:r>
        <w:rPr>
          <w:iCs/>
          <w:szCs w:val="21"/>
          <w:highlight w:val="none"/>
        </w:rPr>
        <w:t>The above requirements defined for 1Rx and 2Rx (e)RedCap UEs with FR1-NTN bands will be the same, and there is no need to differentiate 1Rx/2Rx requirements.</w:t>
      </w:r>
    </w:p>
    <w:p w14:paraId="1BBC7315">
      <w:pPr>
        <w:spacing w:after="120"/>
        <w:rPr>
          <w:rFonts w:eastAsiaTheme="minorEastAsia"/>
          <w:lang w:val="en-GB"/>
        </w:rPr>
      </w:pPr>
    </w:p>
    <w:p w14:paraId="68DC8EA1">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2</w:t>
      </w:r>
      <w:r>
        <w:rPr>
          <w:rFonts w:ascii="Times New Roman" w:hAnsi="Times New Roman" w:cs="Times New Roman"/>
          <w:sz w:val="24"/>
          <w:szCs w:val="16"/>
        </w:rPr>
        <w:t>-</w:t>
      </w:r>
      <w:r>
        <w:rPr>
          <w:rFonts w:hint="eastAsia" w:ascii="Times New Roman" w:hAnsi="Times New Roman" w:cs="Times New Roman"/>
          <w:sz w:val="24"/>
          <w:szCs w:val="16"/>
        </w:rPr>
        <w:t>4</w:t>
      </w:r>
      <w:r>
        <w:rPr>
          <w:rFonts w:ascii="Times New Roman" w:hAnsi="Times New Roman" w:cs="Times New Roman"/>
          <w:sz w:val="24"/>
          <w:szCs w:val="16"/>
        </w:rPr>
        <w:t xml:space="preserve"> Measurement Procedure</w:t>
      </w:r>
      <w:r>
        <w:rPr>
          <w:rFonts w:hint="eastAsia" w:ascii="Times New Roman" w:hAnsi="Times New Roman" w:cs="Times New Roman"/>
          <w:sz w:val="24"/>
          <w:szCs w:val="16"/>
        </w:rPr>
        <w:t xml:space="preserve"> for 1Rx/2Rx</w:t>
      </w:r>
      <w:r>
        <w:rPr>
          <w:rFonts w:ascii="Times New Roman" w:hAnsi="Times New Roman" w:cs="Times New Roman"/>
          <w:sz w:val="24"/>
          <w:szCs w:val="16"/>
        </w:rPr>
        <w:t xml:space="preserve"> (e)RedCap UEs with FR1-NTN</w:t>
      </w:r>
    </w:p>
    <w:p w14:paraId="0C1623C1">
      <w:pPr>
        <w:pStyle w:val="5"/>
        <w:spacing w:before="120" w:after="120" w:line="240" w:lineRule="auto"/>
        <w:rPr>
          <w:rFonts w:ascii="Times New Roman" w:hAnsi="Times New Roman" w:cs="Times New Roman"/>
          <w:sz w:val="20"/>
          <w:u w:val="single"/>
          <w:lang w:val="en-GB"/>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4-1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 xml:space="preserve">L1/L3 </w:t>
      </w:r>
      <w:r>
        <w:rPr>
          <w:rFonts w:ascii="Times New Roman" w:hAnsi="Times New Roman" w:cs="Times New Roman"/>
          <w:sz w:val="20"/>
          <w:u w:val="single"/>
          <w:lang w:eastAsia="ko-KR"/>
        </w:rPr>
        <w:t xml:space="preserve">Measurement </w:t>
      </w:r>
      <w:r>
        <w:rPr>
          <w:rFonts w:hint="eastAsia" w:ascii="Times New Roman" w:hAnsi="Times New Roman" w:cs="Times New Roman"/>
          <w:sz w:val="20"/>
          <w:u w:val="single"/>
        </w:rPr>
        <w:t>requirements</w:t>
      </w:r>
      <w:r>
        <w:rPr>
          <w:rFonts w:ascii="Times New Roman" w:hAnsi="Times New Roman" w:cs="Times New Roman"/>
          <w:sz w:val="20"/>
          <w:u w:val="single"/>
          <w:lang w:eastAsia="ko-KR"/>
        </w:rPr>
        <w:t xml:space="preserve"> for 1Rx/2Rx (e)RedCap UEs with FR1-NTN</w:t>
      </w:r>
    </w:p>
    <w:p w14:paraId="0A6574DB">
      <w:pPr>
        <w:rPr>
          <w:b/>
          <w:lang w:eastAsia="zh-CN"/>
        </w:rPr>
      </w:pPr>
      <w:r>
        <w:rPr>
          <w:b/>
        </w:rPr>
        <w:t>&lt;Way Forward&gt;</w:t>
      </w:r>
      <w:r>
        <w:rPr>
          <w:rFonts w:hint="eastAsia"/>
          <w:b/>
          <w:lang w:eastAsia="zh-CN"/>
        </w:rPr>
        <w:t>:</w:t>
      </w:r>
    </w:p>
    <w:p w14:paraId="7A26FCDE">
      <w:pPr>
        <w:pStyle w:val="29"/>
        <w:numPr>
          <w:ilvl w:val="1"/>
          <w:numId w:val="6"/>
        </w:numPr>
        <w:spacing w:after="120"/>
        <w:rPr>
          <w:rFonts w:ascii="Times New Roman" w:hAnsi="Times New Roman" w:cs="Times New Roman"/>
          <w:sz w:val="20"/>
          <w:szCs w:val="20"/>
        </w:rPr>
      </w:pPr>
      <w:r>
        <w:rPr>
          <w:rFonts w:ascii="Times New Roman" w:hAnsi="Times New Roman" w:cs="Times New Roman"/>
          <w:sz w:val="20"/>
          <w:szCs w:val="20"/>
        </w:rPr>
        <w:t xml:space="preserve">For 2Rx (e)RedCap UEs with FR1-NTN bands, </w:t>
      </w:r>
    </w:p>
    <w:p w14:paraId="188B0ED5">
      <w:pPr>
        <w:pStyle w:val="29"/>
        <w:numPr>
          <w:ilvl w:val="2"/>
          <w:numId w:val="6"/>
        </w:numPr>
        <w:rPr>
          <w:rFonts w:ascii="Times New Roman" w:hAnsi="Times New Roman" w:cs="Times New Roman" w:eastAsiaTheme="minorEastAsia"/>
          <w:iCs/>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1</w:t>
      </w:r>
      <w:r>
        <w:rPr>
          <w:rFonts w:ascii="Times New Roman" w:hAnsi="Times New Roman" w:cs="Times New Roman"/>
          <w:sz w:val="20"/>
          <w:szCs w:val="20"/>
        </w:rPr>
        <w:t xml:space="preserve"> (</w:t>
      </w:r>
      <w:r>
        <w:rPr>
          <w:rFonts w:hint="eastAsia" w:ascii="Times New Roman" w:hAnsi="Times New Roman" w:cs="Times New Roman"/>
          <w:sz w:val="20"/>
          <w:szCs w:val="20"/>
        </w:rPr>
        <w:t>CATT, Samsung, CMCC, HW</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hint="eastAsia" w:ascii="Times New Roman" w:hAnsi="Times New Roman" w:cs="Times New Roman" w:eastAsiaTheme="minorEastAsia"/>
          <w:iCs/>
          <w:sz w:val="20"/>
          <w:szCs w:val="20"/>
        </w:rPr>
        <w:t xml:space="preserve">RAN4 to </w:t>
      </w:r>
      <w:r>
        <w:rPr>
          <w:rFonts w:ascii="Times New Roman" w:hAnsi="Times New Roman" w:cs="Times New Roman" w:eastAsiaTheme="minorEastAsia"/>
          <w:iCs/>
          <w:sz w:val="20"/>
          <w:szCs w:val="20"/>
        </w:rPr>
        <w:t xml:space="preserve">reuse the legacy FR1-NTN measurement requirements </w:t>
      </w:r>
      <w:r>
        <w:rPr>
          <w:rFonts w:hint="eastAsia" w:ascii="Times New Roman" w:hAnsi="Times New Roman" w:cs="Times New Roman" w:eastAsiaTheme="minorEastAsia"/>
          <w:iCs/>
          <w:sz w:val="20"/>
          <w:szCs w:val="20"/>
        </w:rPr>
        <w:t xml:space="preserve">defined </w:t>
      </w:r>
      <w:r>
        <w:rPr>
          <w:rFonts w:ascii="Times New Roman" w:hAnsi="Times New Roman" w:cs="Times New Roman" w:eastAsiaTheme="minorEastAsia"/>
          <w:iCs/>
          <w:sz w:val="20"/>
          <w:szCs w:val="20"/>
        </w:rPr>
        <w:t xml:space="preserve">for normal </w:t>
      </w:r>
      <w:r>
        <w:rPr>
          <w:rFonts w:ascii="Times New Roman" w:hAnsi="Times New Roman" w:cs="Times New Roman" w:eastAsiaTheme="minorEastAsia"/>
          <w:iCs/>
          <w:sz w:val="20"/>
          <w:szCs w:val="20"/>
          <w:highlight w:val="none"/>
        </w:rPr>
        <w:t>UEs</w:t>
      </w:r>
      <w:r>
        <w:rPr>
          <w:rFonts w:hint="eastAsia" w:ascii="Times New Roman" w:hAnsi="Times New Roman" w:cs="Times New Roman" w:eastAsiaTheme="minorEastAsia"/>
          <w:iCs/>
          <w:sz w:val="20"/>
          <w:szCs w:val="20"/>
          <w:highlight w:val="none"/>
        </w:rPr>
        <w:t xml:space="preserve"> </w:t>
      </w:r>
      <w:r>
        <w:rPr>
          <w:rFonts w:ascii="Times New Roman" w:hAnsi="Times New Roman" w:cs="Times New Roman" w:eastAsiaTheme="minorEastAsia"/>
          <w:iCs/>
          <w:sz w:val="20"/>
          <w:szCs w:val="20"/>
          <w:highlight w:val="none"/>
        </w:rPr>
        <w:t>in high level</w:t>
      </w:r>
      <w:r>
        <w:rPr>
          <w:rFonts w:hint="eastAsia" w:ascii="Times New Roman" w:hAnsi="Times New Roman" w:cs="Times New Roman" w:eastAsiaTheme="minorEastAsia"/>
          <w:iCs/>
          <w:sz w:val="20"/>
          <w:szCs w:val="20"/>
          <w:highlight w:val="none"/>
        </w:rPr>
        <w:t>.</w:t>
      </w:r>
    </w:p>
    <w:p w14:paraId="017E9BBA">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rFonts w:ascii="Times New Roman" w:hAnsi="Times New Roman" w:cs="Times New Roman" w:eastAsiaTheme="minorEastAsia"/>
          <w:iCs/>
          <w:sz w:val="20"/>
          <w:highlight w:val="none"/>
        </w:rPr>
      </w:pPr>
      <w:r>
        <w:rPr>
          <w:rFonts w:hint="eastAsia" w:ascii="Times New Roman" w:hAnsi="Times New Roman" w:cs="Times New Roman" w:eastAsiaTheme="minorEastAsia"/>
          <w:iCs/>
          <w:sz w:val="20"/>
          <w:highlight w:val="none"/>
        </w:rPr>
        <w:t>D</w:t>
      </w:r>
      <w:r>
        <w:rPr>
          <w:rFonts w:ascii="Times New Roman" w:hAnsi="Times New Roman" w:cs="Times New Roman" w:eastAsiaTheme="minorEastAsia"/>
          <w:iCs/>
          <w:sz w:val="20"/>
          <w:highlight w:val="none"/>
        </w:rPr>
        <w:t xml:space="preserve">epend on </w:t>
      </w:r>
      <w:r>
        <w:rPr>
          <w:rFonts w:hint="eastAsia" w:ascii="Times New Roman" w:hAnsi="Times New Roman" w:cs="Times New Roman" w:eastAsiaTheme="minorEastAsia"/>
          <w:iCs/>
          <w:sz w:val="20"/>
          <w:highlight w:val="none"/>
        </w:rPr>
        <w:t xml:space="preserve">the </w:t>
      </w:r>
      <w:r>
        <w:rPr>
          <w:rFonts w:ascii="Times New Roman" w:hAnsi="Times New Roman" w:cs="Times New Roman" w:eastAsiaTheme="minorEastAsia"/>
          <w:iCs/>
          <w:sz w:val="20"/>
          <w:highlight w:val="none"/>
        </w:rPr>
        <w:t>support</w:t>
      </w:r>
      <w:r>
        <w:rPr>
          <w:rFonts w:hint="eastAsia" w:ascii="Times New Roman" w:hAnsi="Times New Roman" w:cs="Times New Roman" w:eastAsiaTheme="minorEastAsia"/>
          <w:iCs/>
          <w:sz w:val="20"/>
          <w:highlight w:val="none"/>
        </w:rPr>
        <w:t>ed</w:t>
      </w:r>
      <w:r>
        <w:rPr>
          <w:rFonts w:ascii="Times New Roman" w:hAnsi="Times New Roman" w:cs="Times New Roman" w:eastAsiaTheme="minorEastAsia"/>
          <w:iCs/>
          <w:sz w:val="20"/>
          <w:highlight w:val="none"/>
        </w:rPr>
        <w:t xml:space="preserve"> UE capabilit</w:t>
      </w:r>
      <w:r>
        <w:rPr>
          <w:rFonts w:hint="eastAsia" w:ascii="Times New Roman" w:hAnsi="Times New Roman" w:cs="Times New Roman" w:eastAsiaTheme="minorEastAsia"/>
          <w:iCs/>
          <w:sz w:val="20"/>
          <w:highlight w:val="none"/>
        </w:rPr>
        <w:t xml:space="preserve">ies </w:t>
      </w:r>
      <w:r>
        <w:rPr>
          <w:rFonts w:ascii="Times New Roman" w:hAnsi="Times New Roman" w:cs="Times New Roman" w:eastAsiaTheme="minorEastAsia"/>
          <w:iCs/>
          <w:sz w:val="20"/>
          <w:highlight w:val="none"/>
        </w:rPr>
        <w:t xml:space="preserve">(e.g., multiple SMTC),, </w:t>
      </w:r>
      <w:r>
        <w:rPr>
          <w:rFonts w:hint="eastAsia" w:ascii="Times New Roman" w:hAnsi="Times New Roman" w:cs="Times New Roman" w:eastAsiaTheme="minorEastAsia"/>
          <w:iCs/>
          <w:sz w:val="20"/>
          <w:highlight w:val="none"/>
        </w:rPr>
        <w:t xml:space="preserve">the </w:t>
      </w:r>
      <w:r>
        <w:rPr>
          <w:rFonts w:ascii="Times New Roman" w:hAnsi="Times New Roman" w:cs="Times New Roman" w:eastAsiaTheme="minorEastAsia"/>
          <w:iCs/>
          <w:sz w:val="20"/>
          <w:highlight w:val="none"/>
        </w:rPr>
        <w:t xml:space="preserve">existing NR NTN requirements </w:t>
      </w:r>
      <w:r>
        <w:rPr>
          <w:rFonts w:hint="eastAsia" w:ascii="Times New Roman" w:hAnsi="Times New Roman" w:cs="Times New Roman" w:eastAsiaTheme="minorEastAsia"/>
          <w:iCs/>
          <w:sz w:val="20"/>
          <w:highlight w:val="none"/>
        </w:rPr>
        <w:t>may need</w:t>
      </w:r>
      <w:r>
        <w:rPr>
          <w:rFonts w:ascii="Times New Roman" w:hAnsi="Times New Roman" w:cs="Times New Roman" w:eastAsiaTheme="minorEastAsia"/>
          <w:iCs/>
          <w:sz w:val="20"/>
          <w:highlight w:val="none"/>
        </w:rPr>
        <w:t xml:space="preserve"> be revised.</w:t>
      </w:r>
    </w:p>
    <w:p w14:paraId="08FD7290">
      <w:pPr>
        <w:pStyle w:val="29"/>
        <w:numPr>
          <w:ilvl w:val="1"/>
          <w:numId w:val="6"/>
        </w:numPr>
        <w:spacing w:after="120"/>
        <w:ind w:left="1655" w:hanging="357"/>
        <w:contextualSpacing w:val="0"/>
        <w:rPr>
          <w:rFonts w:ascii="Times New Roman" w:hAnsi="Times New Roman" w:cs="Times New Roman" w:eastAsiaTheme="minorEastAsia"/>
          <w:iCs/>
          <w:sz w:val="20"/>
          <w:szCs w:val="20"/>
        </w:rPr>
      </w:pPr>
      <w:r>
        <w:rPr>
          <w:rFonts w:hint="eastAsia" w:ascii="Times New Roman" w:hAnsi="Times New Roman" w:cs="Times New Roman"/>
          <w:sz w:val="20"/>
          <w:szCs w:val="20"/>
        </w:rPr>
        <w:t xml:space="preserve">For </w:t>
      </w:r>
      <w:r>
        <w:rPr>
          <w:rFonts w:ascii="Times New Roman" w:hAnsi="Times New Roman" w:cs="Times New Roman"/>
          <w:sz w:val="20"/>
          <w:szCs w:val="20"/>
        </w:rPr>
        <w:t>1Rx (e)RedCap UEs with FR1-NTN bands</w:t>
      </w:r>
      <w:r>
        <w:rPr>
          <w:rFonts w:hint="eastAsia" w:ascii="Times New Roman" w:hAnsi="Times New Roman" w:cs="Times New Roman"/>
          <w:sz w:val="20"/>
          <w:szCs w:val="20"/>
        </w:rPr>
        <w:t xml:space="preserve">, </w:t>
      </w:r>
    </w:p>
    <w:p w14:paraId="15A9C951">
      <w:pPr>
        <w:pStyle w:val="29"/>
        <w:numPr>
          <w:ilvl w:val="2"/>
          <w:numId w:val="6"/>
        </w:numPr>
        <w:contextualSpacing w:val="0"/>
        <w:rPr>
          <w:rFonts w:ascii="Times New Roman" w:hAnsi="Times New Roman" w:cs="Times New Roman" w:eastAsiaTheme="minorEastAsia"/>
          <w:iCs/>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1</w:t>
      </w:r>
      <w:r>
        <w:rPr>
          <w:rFonts w:ascii="Times New Roman" w:hAnsi="Times New Roman" w:cs="Times New Roman"/>
          <w:sz w:val="20"/>
          <w:szCs w:val="20"/>
        </w:rPr>
        <w:t xml:space="preserve"> (</w:t>
      </w:r>
      <w:r>
        <w:rPr>
          <w:rFonts w:hint="eastAsia" w:ascii="Times New Roman" w:hAnsi="Times New Roman" w:cs="Times New Roman"/>
          <w:sz w:val="20"/>
          <w:szCs w:val="20"/>
        </w:rPr>
        <w:t>CATT, Samsung, CMCC, ZTE, HW</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hint="eastAsia" w:ascii="Times New Roman" w:hAnsi="Times New Roman" w:cs="Times New Roman" w:eastAsiaTheme="minorEastAsia"/>
          <w:iCs/>
          <w:sz w:val="20"/>
          <w:szCs w:val="20"/>
        </w:rPr>
        <w:t>The t</w:t>
      </w:r>
      <w:r>
        <w:rPr>
          <w:rFonts w:ascii="Times New Roman" w:hAnsi="Times New Roman" w:cs="Times New Roman" w:eastAsiaTheme="minorEastAsia"/>
          <w:iCs/>
          <w:sz w:val="20"/>
          <w:szCs w:val="20"/>
        </w:rPr>
        <w:t xml:space="preserve">ime period for PSS/SSS detection </w:t>
      </w:r>
      <w:r>
        <w:rPr>
          <w:rFonts w:hint="eastAsia" w:ascii="Times New Roman" w:hAnsi="Times New Roman" w:cs="Times New Roman" w:eastAsiaTheme="minorEastAsia"/>
          <w:iCs/>
          <w:sz w:val="20"/>
          <w:szCs w:val="20"/>
        </w:rPr>
        <w:t xml:space="preserve">defined for </w:t>
      </w:r>
      <w:r>
        <w:rPr>
          <w:rFonts w:ascii="Times New Roman" w:hAnsi="Times New Roman" w:cs="Times New Roman" w:eastAsiaTheme="minorEastAsia"/>
          <w:iCs/>
          <w:sz w:val="20"/>
          <w:szCs w:val="20"/>
        </w:rPr>
        <w:t>intra</w:t>
      </w:r>
      <w:r>
        <w:rPr>
          <w:rFonts w:hint="eastAsia" w:ascii="Times New Roman" w:hAnsi="Times New Roman" w:cs="Times New Roman" w:eastAsiaTheme="minorEastAsia"/>
          <w:iCs/>
          <w:sz w:val="20"/>
          <w:szCs w:val="20"/>
        </w:rPr>
        <w:t>/inter-</w:t>
      </w:r>
      <w:r>
        <w:rPr>
          <w:rFonts w:ascii="Times New Roman" w:hAnsi="Times New Roman" w:cs="Times New Roman" w:eastAsiaTheme="minorEastAsia"/>
          <w:iCs/>
          <w:sz w:val="20"/>
          <w:szCs w:val="20"/>
        </w:rPr>
        <w:t>frequency measurement</w:t>
      </w:r>
      <w:r>
        <w:rPr>
          <w:rFonts w:hint="eastAsia" w:ascii="Times New Roman" w:hAnsi="Times New Roman" w:cs="Times New Roman" w:eastAsiaTheme="minorEastAsia"/>
          <w:iCs/>
          <w:sz w:val="20"/>
          <w:szCs w:val="20"/>
        </w:rPr>
        <w:t xml:space="preserve"> requirements should be relaxed for </w:t>
      </w:r>
      <w:r>
        <w:rPr>
          <w:rFonts w:ascii="Times New Roman" w:hAnsi="Times New Roman" w:cs="Times New Roman" w:eastAsiaTheme="minorEastAsia"/>
          <w:iCs/>
          <w:sz w:val="20"/>
          <w:szCs w:val="20"/>
        </w:rPr>
        <w:t>1Rx (e)RedCap UEs with FR1-NTN bands</w:t>
      </w:r>
      <w:r>
        <w:rPr>
          <w:rFonts w:hint="eastAsia" w:ascii="Times New Roman" w:hAnsi="Times New Roman" w:cs="Times New Roman" w:eastAsiaTheme="minorEastAsia"/>
          <w:iCs/>
          <w:sz w:val="20"/>
          <w:szCs w:val="20"/>
        </w:rPr>
        <w:t xml:space="preserve"> compared to those defined for 2Rx </w:t>
      </w:r>
      <w:r>
        <w:rPr>
          <w:rFonts w:ascii="Times New Roman" w:hAnsi="Times New Roman" w:cs="Times New Roman" w:eastAsiaTheme="minorEastAsia"/>
          <w:iCs/>
          <w:sz w:val="20"/>
          <w:szCs w:val="20"/>
        </w:rPr>
        <w:t>(e)RedCap UEs</w:t>
      </w:r>
      <w:r>
        <w:rPr>
          <w:rFonts w:hint="eastAsia" w:ascii="Times New Roman" w:hAnsi="Times New Roman" w:cs="Times New Roman" w:eastAsiaTheme="minorEastAsia"/>
          <w:iCs/>
          <w:sz w:val="20"/>
          <w:szCs w:val="20"/>
        </w:rPr>
        <w:t>.</w:t>
      </w:r>
    </w:p>
    <w:p w14:paraId="3414E504">
      <w:pPr>
        <w:pStyle w:val="29"/>
        <w:numPr>
          <w:ilvl w:val="3"/>
          <w:numId w:val="6"/>
        </w:numPr>
        <w:contextualSpacing w:val="0"/>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 xml:space="preserve">Reuse the same </w:t>
      </w:r>
      <w:r>
        <w:rPr>
          <w:rFonts w:ascii="Times New Roman" w:hAnsi="Times New Roman" w:cs="Times New Roman" w:eastAsiaTheme="minorEastAsia"/>
          <w:iCs/>
          <w:sz w:val="20"/>
          <w:szCs w:val="20"/>
        </w:rPr>
        <w:t>extensions</w:t>
      </w:r>
      <w:r>
        <w:rPr>
          <w:rFonts w:hint="eastAsia" w:ascii="Times New Roman" w:hAnsi="Times New Roman" w:cs="Times New Roman" w:eastAsiaTheme="minorEastAsia"/>
          <w:iCs/>
          <w:sz w:val="20"/>
          <w:szCs w:val="20"/>
        </w:rPr>
        <w:t xml:space="preserve"> for </w:t>
      </w:r>
      <w:r>
        <w:rPr>
          <w:rFonts w:ascii="Times New Roman" w:hAnsi="Times New Roman" w:cs="Times New Roman" w:eastAsiaTheme="minorEastAsia"/>
          <w:iCs/>
          <w:sz w:val="20"/>
          <w:szCs w:val="20"/>
        </w:rPr>
        <w:t>1Rx</w:t>
      </w:r>
      <w:r>
        <w:rPr>
          <w:rFonts w:hint="eastAsia" w:ascii="Times New Roman" w:hAnsi="Times New Roman" w:cs="Times New Roman" w:eastAsiaTheme="minorEastAsia"/>
          <w:iCs/>
          <w:sz w:val="20"/>
          <w:szCs w:val="20"/>
        </w:rPr>
        <w:t xml:space="preserve"> RedCap UE in TN network.</w:t>
      </w:r>
    </w:p>
    <w:p w14:paraId="4C187622">
      <w:pPr>
        <w:pStyle w:val="29"/>
        <w:widowControl w:val="0"/>
        <w:numPr>
          <w:ilvl w:val="0"/>
          <w:numId w:val="13"/>
        </w:numPr>
        <w:ind w:left="3504"/>
        <w:contextualSpacing w:val="0"/>
        <w:rPr>
          <w:rFonts w:ascii="Times New Roman" w:hAnsi="Times New Roman" w:cs="Times New Roman" w:eastAsiaTheme="minorEastAsia"/>
          <w:sz w:val="20"/>
          <w:szCs w:val="20"/>
        </w:rPr>
      </w:pPr>
      <w:r>
        <w:rPr>
          <w:rFonts w:ascii="Times New Roman" w:hAnsi="Times New Roman" w:cs="Times New Roman"/>
          <w:sz w:val="20"/>
          <w:szCs w:val="20"/>
        </w:rPr>
        <w:t>Increase the number of attempts by 2 SSB samples for T</w:t>
      </w:r>
      <w:r>
        <w:rPr>
          <w:rFonts w:ascii="Times New Roman" w:hAnsi="Times New Roman" w:cs="Times New Roman"/>
          <w:sz w:val="20"/>
          <w:szCs w:val="20"/>
          <w:vertAlign w:val="subscript"/>
        </w:rPr>
        <w:t xml:space="preserve">PSS/SSS_sync_intra </w:t>
      </w:r>
      <w:r>
        <w:rPr>
          <w:rFonts w:ascii="Times New Roman" w:hAnsi="Times New Roman" w:cs="Times New Roman"/>
          <w:sz w:val="20"/>
          <w:szCs w:val="20"/>
        </w:rPr>
        <w:t>and T</w:t>
      </w:r>
      <w:r>
        <w:rPr>
          <w:rFonts w:ascii="Times New Roman" w:hAnsi="Times New Roman" w:cs="Times New Roman"/>
          <w:sz w:val="20"/>
          <w:szCs w:val="20"/>
          <w:vertAlign w:val="subscript"/>
        </w:rPr>
        <w:t>PSS/SSS_sync_inter</w:t>
      </w:r>
      <w:r>
        <w:rPr>
          <w:rFonts w:ascii="Times New Roman" w:hAnsi="Times New Roman" w:cs="Times New Roman"/>
          <w:sz w:val="20"/>
          <w:szCs w:val="20"/>
        </w:rPr>
        <w:t>.</w:t>
      </w:r>
    </w:p>
    <w:p w14:paraId="239762D0">
      <w:pPr>
        <w:pStyle w:val="29"/>
        <w:widowControl w:val="0"/>
        <w:numPr>
          <w:ilvl w:val="0"/>
          <w:numId w:val="13"/>
        </w:numPr>
        <w:spacing w:after="120"/>
        <w:ind w:left="3504"/>
        <w:contextualSpacing w:val="0"/>
        <w:rPr>
          <w:rFonts w:ascii="Times New Roman" w:hAnsi="Times New Roman" w:cs="Times New Roman" w:eastAsiaTheme="minorEastAsia"/>
          <w:sz w:val="20"/>
          <w:szCs w:val="20"/>
        </w:rPr>
      </w:pPr>
      <w:r>
        <w:rPr>
          <w:rFonts w:ascii="Times New Roman" w:hAnsi="Times New Roman" w:cs="Times New Roman" w:eastAsiaTheme="minorEastAsia"/>
          <w:sz w:val="20"/>
          <w:szCs w:val="20"/>
        </w:rPr>
        <w:t>Not to extend the lower boundary.</w:t>
      </w:r>
    </w:p>
    <w:p w14:paraId="5FC0F0D4">
      <w:pPr>
        <w:pStyle w:val="29"/>
        <w:numPr>
          <w:ilvl w:val="3"/>
          <w:numId w:val="6"/>
        </w:numPr>
        <w:contextualSpacing w:val="0"/>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 xml:space="preserve">Proposal </w:t>
      </w:r>
      <w:r>
        <w:rPr>
          <w:rFonts w:hint="eastAsia" w:ascii="Times New Roman" w:hAnsi="Times New Roman" w:cs="Times New Roman" w:eastAsiaTheme="minorEastAsia"/>
          <w:iCs/>
          <w:sz w:val="20"/>
          <w:szCs w:val="20"/>
        </w:rPr>
        <w:t>1a</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QC</w:t>
      </w:r>
      <w:r>
        <w:rPr>
          <w:rFonts w:ascii="Times New Roman" w:hAnsi="Times New Roman" w:cs="Times New Roman" w:eastAsiaTheme="minorEastAsia"/>
          <w:iCs/>
          <w:sz w:val="20"/>
          <w:szCs w:val="20"/>
        </w:rPr>
        <w:t>):</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Extended delays for PSS/SSS detection</w:t>
      </w:r>
      <w:r>
        <w:rPr>
          <w:rFonts w:hint="eastAsia" w:ascii="Times New Roman" w:hAnsi="Times New Roman" w:cs="Times New Roman" w:eastAsiaTheme="minorEastAsia"/>
          <w:iCs/>
          <w:sz w:val="20"/>
          <w:szCs w:val="20"/>
        </w:rPr>
        <w:t>.</w:t>
      </w:r>
    </w:p>
    <w:p w14:paraId="7273CDD0">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 xml:space="preserve">Proposal </w:t>
      </w:r>
      <w:r>
        <w:rPr>
          <w:rFonts w:hint="eastAsia" w:ascii="Times New Roman" w:hAnsi="Times New Roman" w:cs="Times New Roman" w:eastAsiaTheme="minorEastAsia"/>
          <w:iCs/>
          <w:sz w:val="20"/>
          <w:highlight w:val="none"/>
        </w:rPr>
        <w:t>1b</w:t>
      </w:r>
      <w:r>
        <w:rPr>
          <w:rFonts w:ascii="Times New Roman" w:hAnsi="Times New Roman" w:cs="Times New Roman" w:eastAsiaTheme="minorEastAsia"/>
          <w:iCs/>
          <w:sz w:val="20"/>
          <w:highlight w:val="none"/>
        </w:rPr>
        <w:t xml:space="preserve"> (</w:t>
      </w:r>
      <w:r>
        <w:rPr>
          <w:rFonts w:hint="eastAsia" w:ascii="Times New Roman" w:hAnsi="Times New Roman" w:cs="Times New Roman" w:eastAsiaTheme="minorEastAsia"/>
          <w:iCs/>
          <w:sz w:val="20"/>
          <w:highlight w:val="none"/>
        </w:rPr>
        <w:t>OPPO</w:t>
      </w:r>
      <w:r>
        <w:rPr>
          <w:rFonts w:ascii="Times New Roman" w:hAnsi="Times New Roman" w:cs="Times New Roman" w:eastAsiaTheme="minorEastAsia"/>
          <w:iCs/>
          <w:sz w:val="20"/>
          <w:highlight w:val="none"/>
        </w:rPr>
        <w:t>):</w:t>
      </w:r>
      <w:r>
        <w:rPr>
          <w:rFonts w:hint="eastAsia" w:ascii="Times New Roman" w:hAnsi="Times New Roman" w:cs="Times New Roman" w:eastAsiaTheme="minorEastAsia"/>
          <w:iCs/>
          <w:sz w:val="20"/>
          <w:highlight w:val="none"/>
        </w:rPr>
        <w:t xml:space="preserve"> S</w:t>
      </w:r>
      <w:r>
        <w:rPr>
          <w:rFonts w:ascii="Times New Roman" w:hAnsi="Times New Roman" w:cs="Times New Roman" w:eastAsiaTheme="minorEastAsia"/>
          <w:iCs/>
          <w:sz w:val="20"/>
          <w:highlight w:val="none"/>
        </w:rPr>
        <w:t>upport to relax measurement requirements including extending the measurement delays with more measurement samples</w:t>
      </w:r>
      <w:r>
        <w:rPr>
          <w:rFonts w:hint="eastAsia" w:ascii="Times New Roman" w:hAnsi="Times New Roman" w:cs="Times New Roman" w:eastAsiaTheme="minorEastAsia"/>
          <w:iCs/>
          <w:sz w:val="20"/>
          <w:highlight w:val="none"/>
        </w:rPr>
        <w:t>.</w:t>
      </w:r>
    </w:p>
    <w:p w14:paraId="501A267C">
      <w:pPr>
        <w:pStyle w:val="29"/>
        <w:numPr>
          <w:ilvl w:val="2"/>
          <w:numId w:val="6"/>
        </w:numPr>
        <w:contextualSpacing w:val="0"/>
        <w:rPr>
          <w:rFonts w:ascii="Times New Roman" w:hAnsi="Times New Roman" w:cs="Times New Roman" w:eastAsiaTheme="minorEastAsia"/>
          <w:iCs/>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2</w:t>
      </w:r>
      <w:r>
        <w:rPr>
          <w:rFonts w:ascii="Times New Roman" w:hAnsi="Times New Roman" w:cs="Times New Roman"/>
          <w:sz w:val="20"/>
          <w:szCs w:val="20"/>
        </w:rPr>
        <w:t xml:space="preserve"> (</w:t>
      </w:r>
      <w:r>
        <w:rPr>
          <w:rFonts w:hint="eastAsia" w:ascii="Times New Roman" w:hAnsi="Times New Roman" w:cs="Times New Roman"/>
          <w:sz w:val="20"/>
          <w:szCs w:val="20"/>
        </w:rPr>
        <w:t>CATT, [Samsung?], CMCC, HW</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hint="eastAsia" w:ascii="Times New Roman" w:hAnsi="Times New Roman" w:cs="Times New Roman" w:eastAsiaTheme="minorEastAsia"/>
          <w:iCs/>
          <w:sz w:val="20"/>
          <w:szCs w:val="20"/>
        </w:rPr>
        <w:t>The t</w:t>
      </w:r>
      <w:r>
        <w:rPr>
          <w:rFonts w:ascii="Times New Roman" w:hAnsi="Times New Roman" w:cs="Times New Roman" w:eastAsiaTheme="minorEastAsia"/>
          <w:iCs/>
          <w:sz w:val="20"/>
          <w:szCs w:val="20"/>
        </w:rPr>
        <w:t>ime period for SSB index identification (PBCH decoding)</w:t>
      </w:r>
      <w:r>
        <w:rPr>
          <w:rFonts w:hint="eastAsia" w:ascii="Times New Roman" w:hAnsi="Times New Roman" w:cs="Times New Roman" w:eastAsiaTheme="minorEastAsia"/>
          <w:iCs/>
          <w:sz w:val="20"/>
          <w:szCs w:val="20"/>
        </w:rPr>
        <w:t xml:space="preserve"> defined in </w:t>
      </w:r>
      <w:r>
        <w:rPr>
          <w:rFonts w:ascii="Times New Roman" w:hAnsi="Times New Roman" w:cs="Times New Roman" w:eastAsiaTheme="minorEastAsia"/>
          <w:iCs/>
          <w:sz w:val="20"/>
          <w:szCs w:val="20"/>
        </w:rPr>
        <w:t>intra</w:t>
      </w:r>
      <w:r>
        <w:rPr>
          <w:rFonts w:hint="eastAsia" w:ascii="Times New Roman" w:hAnsi="Times New Roman" w:cs="Times New Roman" w:eastAsiaTheme="minorEastAsia"/>
          <w:iCs/>
          <w:sz w:val="20"/>
          <w:szCs w:val="20"/>
        </w:rPr>
        <w:t>/inter-</w:t>
      </w:r>
      <w:r>
        <w:rPr>
          <w:rFonts w:ascii="Times New Roman" w:hAnsi="Times New Roman" w:cs="Times New Roman" w:eastAsiaTheme="minorEastAsia"/>
          <w:iCs/>
          <w:sz w:val="20"/>
          <w:szCs w:val="20"/>
        </w:rPr>
        <w:t>frequency measurement</w:t>
      </w:r>
      <w:r>
        <w:rPr>
          <w:rFonts w:hint="eastAsia" w:ascii="Times New Roman" w:hAnsi="Times New Roman" w:cs="Times New Roman" w:eastAsiaTheme="minorEastAsia"/>
          <w:iCs/>
          <w:sz w:val="20"/>
          <w:szCs w:val="20"/>
        </w:rPr>
        <w:t xml:space="preserve"> requirements should be relaxed for </w:t>
      </w:r>
      <w:r>
        <w:rPr>
          <w:rFonts w:ascii="Times New Roman" w:hAnsi="Times New Roman" w:cs="Times New Roman" w:eastAsiaTheme="minorEastAsia"/>
          <w:iCs/>
          <w:sz w:val="20"/>
          <w:szCs w:val="20"/>
        </w:rPr>
        <w:t>1Rx (e)RedCap UEs with FR1-NTN bands</w:t>
      </w:r>
      <w:r>
        <w:rPr>
          <w:rFonts w:hint="eastAsia" w:ascii="Times New Roman" w:hAnsi="Times New Roman" w:cs="Times New Roman" w:eastAsiaTheme="minorEastAsia"/>
          <w:iCs/>
          <w:sz w:val="20"/>
          <w:szCs w:val="20"/>
        </w:rPr>
        <w:t xml:space="preserve"> compared to those defined for 2Rx </w:t>
      </w:r>
      <w:r>
        <w:rPr>
          <w:rFonts w:ascii="Times New Roman" w:hAnsi="Times New Roman" w:cs="Times New Roman" w:eastAsiaTheme="minorEastAsia"/>
          <w:iCs/>
          <w:sz w:val="20"/>
          <w:szCs w:val="20"/>
        </w:rPr>
        <w:t>(e)RedCap UEs</w:t>
      </w:r>
      <w:r>
        <w:rPr>
          <w:rFonts w:hint="eastAsia" w:ascii="Times New Roman" w:hAnsi="Times New Roman" w:cs="Times New Roman" w:eastAsiaTheme="minorEastAsia"/>
          <w:iCs/>
          <w:sz w:val="20"/>
          <w:szCs w:val="20"/>
        </w:rPr>
        <w:t>.</w:t>
      </w:r>
    </w:p>
    <w:p w14:paraId="21C0EBD6">
      <w:pPr>
        <w:pStyle w:val="29"/>
        <w:numPr>
          <w:ilvl w:val="3"/>
          <w:numId w:val="6"/>
        </w:numPr>
        <w:contextualSpacing w:val="0"/>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 xml:space="preserve">Reuse the same </w:t>
      </w:r>
      <w:r>
        <w:rPr>
          <w:rFonts w:ascii="Times New Roman" w:hAnsi="Times New Roman" w:cs="Times New Roman" w:eastAsiaTheme="minorEastAsia"/>
          <w:iCs/>
          <w:sz w:val="20"/>
          <w:szCs w:val="20"/>
        </w:rPr>
        <w:t xml:space="preserve">extensions </w:t>
      </w:r>
      <w:r>
        <w:rPr>
          <w:rFonts w:hint="eastAsia" w:ascii="Times New Roman" w:hAnsi="Times New Roman" w:cs="Times New Roman" w:eastAsiaTheme="minorEastAsia"/>
          <w:iCs/>
          <w:sz w:val="20"/>
          <w:szCs w:val="20"/>
        </w:rPr>
        <w:t xml:space="preserve">for </w:t>
      </w:r>
      <w:r>
        <w:rPr>
          <w:rFonts w:ascii="Times New Roman" w:hAnsi="Times New Roman" w:cs="Times New Roman" w:eastAsiaTheme="minorEastAsia"/>
          <w:iCs/>
          <w:sz w:val="20"/>
          <w:szCs w:val="20"/>
        </w:rPr>
        <w:t>1Rx</w:t>
      </w:r>
      <w:r>
        <w:rPr>
          <w:rFonts w:hint="eastAsia" w:ascii="Times New Roman" w:hAnsi="Times New Roman" w:cs="Times New Roman" w:eastAsiaTheme="minorEastAsia"/>
          <w:iCs/>
          <w:sz w:val="20"/>
          <w:szCs w:val="20"/>
        </w:rPr>
        <w:t xml:space="preserve"> RedCap UE in TN network.</w:t>
      </w:r>
    </w:p>
    <w:p w14:paraId="42831595">
      <w:pPr>
        <w:pStyle w:val="29"/>
        <w:widowControl w:val="0"/>
        <w:numPr>
          <w:ilvl w:val="0"/>
          <w:numId w:val="13"/>
        </w:numPr>
        <w:ind w:left="3504"/>
        <w:contextualSpacing w:val="0"/>
        <w:rPr>
          <w:rFonts w:ascii="Times New Roman" w:hAnsi="Times New Roman" w:cs="Times New Roman" w:eastAsiaTheme="minorEastAsia"/>
          <w:sz w:val="20"/>
          <w:szCs w:val="18"/>
        </w:rPr>
      </w:pPr>
      <w:r>
        <w:rPr>
          <w:rFonts w:ascii="Times New Roman" w:hAnsi="Times New Roman" w:cs="Times New Roman"/>
          <w:sz w:val="20"/>
          <w:szCs w:val="18"/>
        </w:rPr>
        <w:t>Increase number of attempts by 3 SSB samples for T</w:t>
      </w:r>
      <w:r>
        <w:rPr>
          <w:rFonts w:ascii="Times New Roman" w:hAnsi="Times New Roman" w:cs="Times New Roman"/>
          <w:sz w:val="20"/>
          <w:szCs w:val="18"/>
          <w:vertAlign w:val="subscript"/>
        </w:rPr>
        <w:t xml:space="preserve">SSB_time_index_intra </w:t>
      </w:r>
      <w:r>
        <w:rPr>
          <w:rFonts w:ascii="Times New Roman" w:hAnsi="Times New Roman" w:cs="Times New Roman"/>
          <w:sz w:val="20"/>
          <w:szCs w:val="18"/>
        </w:rPr>
        <w:t>and T</w:t>
      </w:r>
      <w:r>
        <w:rPr>
          <w:rFonts w:ascii="Times New Roman" w:hAnsi="Times New Roman" w:cs="Times New Roman"/>
          <w:sz w:val="20"/>
          <w:szCs w:val="18"/>
          <w:vertAlign w:val="subscript"/>
        </w:rPr>
        <w:t>SSB_time_index_inter</w:t>
      </w:r>
      <w:r>
        <w:rPr>
          <w:rFonts w:ascii="Times New Roman" w:hAnsi="Times New Roman" w:cs="Times New Roman"/>
          <w:sz w:val="20"/>
          <w:szCs w:val="18"/>
        </w:rPr>
        <w:t>.</w:t>
      </w:r>
    </w:p>
    <w:p w14:paraId="53B12091">
      <w:pPr>
        <w:pStyle w:val="29"/>
        <w:widowControl w:val="0"/>
        <w:numPr>
          <w:ilvl w:val="0"/>
          <w:numId w:val="13"/>
        </w:numPr>
        <w:ind w:left="3504"/>
        <w:contextualSpacing w:val="0"/>
        <w:rPr>
          <w:rFonts w:ascii="Times New Roman" w:hAnsi="Times New Roman" w:cs="Times New Roman" w:eastAsiaTheme="minorEastAsia"/>
          <w:sz w:val="20"/>
          <w:szCs w:val="18"/>
        </w:rPr>
      </w:pPr>
      <w:r>
        <w:rPr>
          <w:rFonts w:ascii="Times New Roman" w:hAnsi="Times New Roman" w:cs="Times New Roman" w:eastAsiaTheme="minorEastAsia"/>
          <w:sz w:val="20"/>
          <w:szCs w:val="18"/>
        </w:rPr>
        <w:t>Extend the lower boundary from ‘120 ms’ to ‘160ms’.</w:t>
      </w:r>
    </w:p>
    <w:p w14:paraId="37FBA59A">
      <w:pPr>
        <w:pStyle w:val="29"/>
        <w:numPr>
          <w:ilvl w:val="3"/>
          <w:numId w:val="6"/>
        </w:numPr>
        <w:spacing w:before="120"/>
        <w:ind w:hanging="357"/>
        <w:contextualSpacing w:val="0"/>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 xml:space="preserve">Proposal </w:t>
      </w:r>
      <w:r>
        <w:rPr>
          <w:rFonts w:hint="eastAsia" w:ascii="Times New Roman" w:hAnsi="Times New Roman" w:cs="Times New Roman" w:eastAsiaTheme="minorEastAsia"/>
          <w:iCs/>
          <w:sz w:val="20"/>
          <w:szCs w:val="20"/>
        </w:rPr>
        <w:t>2a</w:t>
      </w:r>
      <w:r>
        <w:rPr>
          <w:rFonts w:ascii="Times New Roman" w:hAnsi="Times New Roman" w:cs="Times New Roman" w:eastAsiaTheme="minorEastAsia"/>
          <w:iCs/>
          <w:sz w:val="20"/>
          <w:szCs w:val="20"/>
        </w:rPr>
        <w:t xml:space="preserve"> (</w:t>
      </w:r>
      <w:r>
        <w:rPr>
          <w:rFonts w:hint="eastAsia" w:ascii="Times New Roman" w:hAnsi="Times New Roman" w:cs="Times New Roman" w:eastAsiaTheme="minorEastAsia"/>
          <w:iCs/>
          <w:sz w:val="20"/>
          <w:szCs w:val="20"/>
        </w:rPr>
        <w:t>QC</w:t>
      </w:r>
      <w:r>
        <w:rPr>
          <w:rFonts w:ascii="Times New Roman" w:hAnsi="Times New Roman" w:cs="Times New Roman" w:eastAsiaTheme="minorEastAsia"/>
          <w:iCs/>
          <w:sz w:val="20"/>
          <w:szCs w:val="20"/>
        </w:rPr>
        <w:t>):</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Extended delays for SSB index identification (PBCH decoding)</w:t>
      </w:r>
      <w:r>
        <w:rPr>
          <w:rFonts w:hint="eastAsia" w:ascii="Times New Roman" w:hAnsi="Times New Roman" w:cs="Times New Roman" w:eastAsiaTheme="minorEastAsia"/>
          <w:iCs/>
          <w:sz w:val="20"/>
          <w:szCs w:val="20"/>
        </w:rPr>
        <w:t>.</w:t>
      </w:r>
    </w:p>
    <w:p w14:paraId="2289BD5A">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 xml:space="preserve">Proposal </w:t>
      </w:r>
      <w:r>
        <w:rPr>
          <w:rFonts w:hint="eastAsia" w:ascii="Times New Roman" w:hAnsi="Times New Roman" w:cs="Times New Roman" w:eastAsiaTheme="minorEastAsia"/>
          <w:iCs/>
          <w:sz w:val="20"/>
          <w:highlight w:val="none"/>
        </w:rPr>
        <w:t>2b</w:t>
      </w:r>
      <w:r>
        <w:rPr>
          <w:rFonts w:ascii="Times New Roman" w:hAnsi="Times New Roman" w:cs="Times New Roman" w:eastAsiaTheme="minorEastAsia"/>
          <w:iCs/>
          <w:sz w:val="20"/>
          <w:highlight w:val="none"/>
        </w:rPr>
        <w:t xml:space="preserve"> (</w:t>
      </w:r>
      <w:r>
        <w:rPr>
          <w:rFonts w:hint="eastAsia" w:ascii="Times New Roman" w:hAnsi="Times New Roman" w:cs="Times New Roman" w:eastAsiaTheme="minorEastAsia"/>
          <w:iCs/>
          <w:sz w:val="20"/>
          <w:highlight w:val="none"/>
        </w:rPr>
        <w:t>OPPO</w:t>
      </w:r>
      <w:r>
        <w:rPr>
          <w:rFonts w:ascii="Times New Roman" w:hAnsi="Times New Roman" w:cs="Times New Roman" w:eastAsiaTheme="minorEastAsia"/>
          <w:iCs/>
          <w:sz w:val="20"/>
          <w:highlight w:val="none"/>
        </w:rPr>
        <w:t>):</w:t>
      </w:r>
      <w:r>
        <w:rPr>
          <w:rFonts w:hint="eastAsia" w:ascii="Times New Roman" w:hAnsi="Times New Roman" w:cs="Times New Roman" w:eastAsiaTheme="minorEastAsia"/>
          <w:iCs/>
          <w:sz w:val="20"/>
          <w:highlight w:val="none"/>
        </w:rPr>
        <w:t xml:space="preserve"> S</w:t>
      </w:r>
      <w:r>
        <w:rPr>
          <w:rFonts w:ascii="Times New Roman" w:hAnsi="Times New Roman" w:cs="Times New Roman" w:eastAsiaTheme="minorEastAsia"/>
          <w:iCs/>
          <w:sz w:val="20"/>
          <w:highlight w:val="none"/>
        </w:rPr>
        <w:t>upport to relax measurement requirements including extending the measurement delays with more measurement samples</w:t>
      </w:r>
      <w:r>
        <w:rPr>
          <w:rFonts w:hint="eastAsia" w:ascii="Times New Roman" w:hAnsi="Times New Roman" w:cs="Times New Roman" w:eastAsiaTheme="minorEastAsia"/>
          <w:iCs/>
          <w:sz w:val="20"/>
          <w:highlight w:val="none"/>
        </w:rPr>
        <w:t>.</w:t>
      </w:r>
    </w:p>
    <w:p w14:paraId="013595B7">
      <w:pPr>
        <w:pStyle w:val="29"/>
        <w:numPr>
          <w:ilvl w:val="2"/>
          <w:numId w:val="6"/>
        </w:numPr>
        <w:contextualSpacing w:val="0"/>
        <w:rPr>
          <w:rFonts w:ascii="Times New Roman" w:hAnsi="Times New Roman" w:cs="Times New Roman" w:eastAsiaTheme="minorEastAsia"/>
          <w:iCs/>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3</w:t>
      </w:r>
      <w:r>
        <w:rPr>
          <w:rFonts w:ascii="Times New Roman" w:hAnsi="Times New Roman" w:cs="Times New Roman"/>
          <w:sz w:val="20"/>
          <w:szCs w:val="20"/>
        </w:rPr>
        <w:t xml:space="preserve"> (</w:t>
      </w:r>
      <w:r>
        <w:rPr>
          <w:rFonts w:hint="eastAsia" w:ascii="Times New Roman" w:hAnsi="Times New Roman" w:cs="Times New Roman"/>
          <w:sz w:val="20"/>
          <w:szCs w:val="20"/>
        </w:rPr>
        <w:t>CATT, CMCC, HW</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hint="eastAsia" w:ascii="Times New Roman" w:hAnsi="Times New Roman" w:cs="Times New Roman" w:eastAsiaTheme="minorEastAsia"/>
          <w:iCs/>
          <w:sz w:val="20"/>
          <w:szCs w:val="20"/>
        </w:rPr>
        <w:t>The m</w:t>
      </w:r>
      <w:r>
        <w:rPr>
          <w:rFonts w:ascii="Times New Roman" w:hAnsi="Times New Roman" w:cs="Times New Roman" w:eastAsiaTheme="minorEastAsia"/>
          <w:iCs/>
          <w:sz w:val="20"/>
          <w:szCs w:val="20"/>
        </w:rPr>
        <w:t>easurement period</w:t>
      </w:r>
      <w:r>
        <w:rPr>
          <w:rFonts w:hint="eastAsia" w:ascii="Times New Roman" w:hAnsi="Times New Roman" w:cs="Times New Roman" w:eastAsiaTheme="minorEastAsia"/>
          <w:iCs/>
          <w:sz w:val="20"/>
          <w:szCs w:val="20"/>
        </w:rPr>
        <w:t xml:space="preserve"> defined in inter-</w:t>
      </w:r>
      <w:r>
        <w:rPr>
          <w:rFonts w:ascii="Times New Roman" w:hAnsi="Times New Roman" w:cs="Times New Roman" w:eastAsiaTheme="minorEastAsia"/>
          <w:iCs/>
          <w:sz w:val="20"/>
          <w:szCs w:val="20"/>
        </w:rPr>
        <w:t>frequency</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measurement</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 xml:space="preserve">with measurement gaps </w:t>
      </w:r>
      <w:r>
        <w:rPr>
          <w:rFonts w:hint="eastAsia" w:ascii="Times New Roman" w:hAnsi="Times New Roman" w:cs="Times New Roman" w:eastAsiaTheme="minorEastAsia"/>
          <w:iCs/>
          <w:sz w:val="20"/>
          <w:szCs w:val="20"/>
        </w:rPr>
        <w:t xml:space="preserve">requirements should be relaxed for </w:t>
      </w:r>
      <w:r>
        <w:rPr>
          <w:rFonts w:ascii="Times New Roman" w:hAnsi="Times New Roman" w:cs="Times New Roman" w:eastAsiaTheme="minorEastAsia"/>
          <w:iCs/>
          <w:sz w:val="20"/>
          <w:szCs w:val="20"/>
        </w:rPr>
        <w:t>1Rx (e)RedCap UEs with FR1-NTN bands</w:t>
      </w:r>
      <w:r>
        <w:rPr>
          <w:rFonts w:hint="eastAsia" w:ascii="Times New Roman" w:hAnsi="Times New Roman" w:cs="Times New Roman" w:eastAsiaTheme="minorEastAsia"/>
          <w:iCs/>
          <w:sz w:val="20"/>
          <w:szCs w:val="20"/>
        </w:rPr>
        <w:t xml:space="preserve"> compared to those defined for 2Rx </w:t>
      </w:r>
      <w:r>
        <w:rPr>
          <w:rFonts w:ascii="Times New Roman" w:hAnsi="Times New Roman" w:cs="Times New Roman" w:eastAsiaTheme="minorEastAsia"/>
          <w:iCs/>
          <w:sz w:val="20"/>
          <w:szCs w:val="20"/>
        </w:rPr>
        <w:t>(e)RedCap UEs</w:t>
      </w:r>
      <w:r>
        <w:rPr>
          <w:rFonts w:hint="eastAsia" w:ascii="Times New Roman" w:hAnsi="Times New Roman" w:cs="Times New Roman" w:eastAsiaTheme="minorEastAsia"/>
          <w:iCs/>
          <w:sz w:val="20"/>
          <w:szCs w:val="20"/>
        </w:rPr>
        <w:t>.</w:t>
      </w:r>
    </w:p>
    <w:p w14:paraId="64CCE3EB">
      <w:pPr>
        <w:pStyle w:val="29"/>
        <w:numPr>
          <w:ilvl w:val="3"/>
          <w:numId w:val="6"/>
        </w:numPr>
        <w:contextualSpacing w:val="0"/>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 xml:space="preserve">Reuse the same </w:t>
      </w:r>
      <w:r>
        <w:rPr>
          <w:rFonts w:ascii="Times New Roman" w:hAnsi="Times New Roman" w:cs="Times New Roman" w:eastAsiaTheme="minorEastAsia"/>
          <w:iCs/>
          <w:sz w:val="20"/>
          <w:szCs w:val="20"/>
        </w:rPr>
        <w:t xml:space="preserve">extensions </w:t>
      </w:r>
      <w:r>
        <w:rPr>
          <w:rFonts w:hint="eastAsia" w:ascii="Times New Roman" w:hAnsi="Times New Roman" w:cs="Times New Roman" w:eastAsiaTheme="minorEastAsia"/>
          <w:iCs/>
          <w:sz w:val="20"/>
          <w:szCs w:val="20"/>
        </w:rPr>
        <w:t xml:space="preserve">for </w:t>
      </w:r>
      <w:r>
        <w:rPr>
          <w:rFonts w:ascii="Times New Roman" w:hAnsi="Times New Roman" w:cs="Times New Roman" w:eastAsiaTheme="minorEastAsia"/>
          <w:iCs/>
          <w:sz w:val="20"/>
          <w:szCs w:val="20"/>
        </w:rPr>
        <w:t>1Rx</w:t>
      </w:r>
      <w:r>
        <w:rPr>
          <w:rFonts w:hint="eastAsia" w:ascii="Times New Roman" w:hAnsi="Times New Roman" w:cs="Times New Roman" w:eastAsiaTheme="minorEastAsia"/>
          <w:iCs/>
          <w:sz w:val="20"/>
          <w:szCs w:val="20"/>
        </w:rPr>
        <w:t xml:space="preserve"> RedCap UE in TN network.</w:t>
      </w:r>
    </w:p>
    <w:p w14:paraId="139E406F">
      <w:pPr>
        <w:pStyle w:val="29"/>
        <w:widowControl w:val="0"/>
        <w:numPr>
          <w:ilvl w:val="0"/>
          <w:numId w:val="13"/>
        </w:numPr>
        <w:ind w:left="3504"/>
        <w:contextualSpacing w:val="0"/>
        <w:rPr>
          <w:rFonts w:ascii="Times New Roman" w:hAnsi="Times New Roman" w:cs="Times New Roman" w:eastAsiaTheme="minorEastAsia"/>
          <w:sz w:val="20"/>
          <w:szCs w:val="18"/>
        </w:rPr>
      </w:pPr>
      <w:r>
        <w:rPr>
          <w:rFonts w:ascii="Times New Roman" w:hAnsi="Times New Roman" w:cs="Times New Roman" w:eastAsiaTheme="minorEastAsia"/>
          <w:sz w:val="20"/>
          <w:szCs w:val="18"/>
        </w:rPr>
        <w:t>Extend the lower boundary from ‘200 ms’ to ‘400ms’</w:t>
      </w:r>
    </w:p>
    <w:p w14:paraId="0CBA5C8F">
      <w:pPr>
        <w:pStyle w:val="29"/>
        <w:widowControl w:val="0"/>
        <w:numPr>
          <w:ilvl w:val="0"/>
          <w:numId w:val="13"/>
        </w:numPr>
        <w:spacing w:after="120"/>
        <w:ind w:left="3504"/>
        <w:contextualSpacing w:val="0"/>
        <w:rPr>
          <w:rFonts w:ascii="Times New Roman" w:hAnsi="Times New Roman" w:cs="Times New Roman" w:eastAsiaTheme="minorEastAsia"/>
          <w:sz w:val="20"/>
          <w:szCs w:val="18"/>
        </w:rPr>
      </w:pPr>
      <w:r>
        <w:rPr>
          <w:rFonts w:ascii="Times New Roman" w:hAnsi="Times New Roman" w:cs="Times New Roman" w:eastAsiaTheme="minorEastAsia"/>
          <w:sz w:val="20"/>
          <w:szCs w:val="18"/>
        </w:rPr>
        <w:t>Keep the same number of samples for T</w:t>
      </w:r>
      <w:r>
        <w:rPr>
          <w:rFonts w:ascii="Times New Roman" w:hAnsi="Times New Roman" w:cs="Times New Roman" w:eastAsiaTheme="minorEastAsia"/>
          <w:sz w:val="20"/>
          <w:szCs w:val="18"/>
          <w:vertAlign w:val="subscript"/>
        </w:rPr>
        <w:t xml:space="preserve"> SSB_measurement_period_inter</w:t>
      </w:r>
      <w:r>
        <w:rPr>
          <w:rFonts w:ascii="Times New Roman" w:hAnsi="Times New Roman" w:cs="Times New Roman" w:eastAsiaTheme="minorEastAsia"/>
          <w:sz w:val="20"/>
          <w:szCs w:val="18"/>
        </w:rPr>
        <w:t>.</w:t>
      </w:r>
    </w:p>
    <w:p w14:paraId="5C906F27">
      <w:pPr>
        <w:pStyle w:val="29"/>
        <w:numPr>
          <w:ilvl w:val="2"/>
          <w:numId w:val="6"/>
        </w:numPr>
        <w:spacing w:after="120"/>
        <w:ind w:hanging="357"/>
        <w:contextualSpacing w:val="0"/>
        <w:rPr>
          <w:rFonts w:ascii="Times New Roman" w:hAnsi="Times New Roman" w:cs="Times New Roman" w:eastAsiaTheme="minorEastAsia"/>
          <w:iCs/>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4</w:t>
      </w:r>
      <w:r>
        <w:rPr>
          <w:rFonts w:ascii="Times New Roman" w:hAnsi="Times New Roman" w:cs="Times New Roman"/>
          <w:sz w:val="20"/>
          <w:szCs w:val="20"/>
        </w:rPr>
        <w:t xml:space="preserve"> (</w:t>
      </w:r>
      <w:r>
        <w:rPr>
          <w:rFonts w:hint="eastAsia" w:ascii="Times New Roman" w:hAnsi="Times New Roman" w:cs="Times New Roman"/>
          <w:sz w:val="20"/>
          <w:szCs w:val="20"/>
        </w:rPr>
        <w:t>CATT, CMCC, ZTE, HW</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hint="eastAsia" w:ascii="Times New Roman" w:hAnsi="Times New Roman" w:cs="Times New Roman" w:eastAsiaTheme="minorEastAsia"/>
          <w:iCs/>
          <w:sz w:val="20"/>
          <w:szCs w:val="20"/>
        </w:rPr>
        <w:t>The m</w:t>
      </w:r>
      <w:r>
        <w:rPr>
          <w:rFonts w:ascii="Times New Roman" w:hAnsi="Times New Roman" w:cs="Times New Roman" w:eastAsiaTheme="minorEastAsia"/>
          <w:iCs/>
          <w:sz w:val="20"/>
          <w:szCs w:val="20"/>
        </w:rPr>
        <w:t>easurement period</w:t>
      </w:r>
      <w:r>
        <w:rPr>
          <w:rFonts w:hint="eastAsia" w:ascii="Times New Roman" w:hAnsi="Times New Roman" w:cs="Times New Roman" w:eastAsiaTheme="minorEastAsia"/>
          <w:iCs/>
          <w:sz w:val="20"/>
          <w:szCs w:val="20"/>
        </w:rPr>
        <w:t xml:space="preserve"> defined in intra-</w:t>
      </w:r>
      <w:r>
        <w:rPr>
          <w:rFonts w:ascii="Times New Roman" w:hAnsi="Times New Roman" w:cs="Times New Roman" w:eastAsiaTheme="minorEastAsia"/>
          <w:iCs/>
          <w:sz w:val="20"/>
          <w:szCs w:val="20"/>
        </w:rPr>
        <w:t>frequency</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measurement</w:t>
      </w:r>
      <w:r>
        <w:rPr>
          <w:rFonts w:hint="eastAsia" w:ascii="Times New Roman" w:hAnsi="Times New Roman" w:cs="Times New Roman" w:eastAsiaTheme="minorEastAsia"/>
          <w:iCs/>
          <w:sz w:val="20"/>
          <w:szCs w:val="20"/>
        </w:rPr>
        <w:t xml:space="preserve"> with/without gap and inter-</w:t>
      </w:r>
      <w:r>
        <w:rPr>
          <w:rFonts w:ascii="Times New Roman" w:hAnsi="Times New Roman" w:cs="Times New Roman" w:eastAsiaTheme="minorEastAsia"/>
          <w:iCs/>
          <w:sz w:val="20"/>
          <w:szCs w:val="20"/>
        </w:rPr>
        <w:t>frequency</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measurement</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with</w:t>
      </w:r>
      <w:r>
        <w:rPr>
          <w:rFonts w:hint="eastAsia" w:ascii="Times New Roman" w:hAnsi="Times New Roman" w:cs="Times New Roman" w:eastAsiaTheme="minorEastAsia"/>
          <w:iCs/>
          <w:sz w:val="20"/>
          <w:szCs w:val="20"/>
        </w:rPr>
        <w:t>out</w:t>
      </w:r>
      <w:r>
        <w:rPr>
          <w:rFonts w:ascii="Times New Roman" w:hAnsi="Times New Roman" w:cs="Times New Roman" w:eastAsiaTheme="minorEastAsia"/>
          <w:iCs/>
          <w:sz w:val="20"/>
          <w:szCs w:val="20"/>
        </w:rPr>
        <w:t xml:space="preserve"> gaps </w:t>
      </w:r>
      <w:r>
        <w:rPr>
          <w:rFonts w:hint="eastAsia" w:ascii="Times New Roman" w:hAnsi="Times New Roman" w:cs="Times New Roman" w:eastAsiaTheme="minorEastAsia"/>
          <w:iCs/>
          <w:sz w:val="20"/>
          <w:szCs w:val="20"/>
        </w:rPr>
        <w:t xml:space="preserve">requirements for </w:t>
      </w:r>
      <w:r>
        <w:rPr>
          <w:rFonts w:ascii="Times New Roman" w:hAnsi="Times New Roman" w:cs="Times New Roman" w:eastAsiaTheme="minorEastAsia"/>
          <w:iCs/>
          <w:sz w:val="20"/>
          <w:szCs w:val="20"/>
        </w:rPr>
        <w:t>1Rx</w:t>
      </w:r>
      <w:r>
        <w:rPr>
          <w:rFonts w:hint="eastAsia" w:ascii="Times New Roman" w:hAnsi="Times New Roman" w:cs="Times New Roman" w:eastAsiaTheme="minorEastAsia"/>
          <w:iCs/>
          <w:sz w:val="20"/>
          <w:szCs w:val="20"/>
        </w:rPr>
        <w:t xml:space="preserve"> and 2Rx</w:t>
      </w:r>
      <w:r>
        <w:rPr>
          <w:rFonts w:ascii="Times New Roman" w:hAnsi="Times New Roman" w:cs="Times New Roman" w:eastAsiaTheme="minorEastAsia"/>
          <w:iCs/>
          <w:sz w:val="20"/>
          <w:szCs w:val="20"/>
        </w:rPr>
        <w:t xml:space="preserve"> (e)RedCap UEs</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with FR1-NTN bands</w:t>
      </w:r>
      <w:r>
        <w:rPr>
          <w:rFonts w:hint="eastAsia" w:ascii="Times New Roman" w:hAnsi="Times New Roman" w:cs="Times New Roman" w:eastAsiaTheme="minorEastAsia"/>
          <w:iCs/>
          <w:sz w:val="20"/>
          <w:szCs w:val="20"/>
        </w:rPr>
        <w:t xml:space="preserve"> will be the same.</w:t>
      </w:r>
    </w:p>
    <w:p w14:paraId="347FF040">
      <w:pPr>
        <w:pStyle w:val="29"/>
        <w:numPr>
          <w:ilvl w:val="2"/>
          <w:numId w:val="6"/>
        </w:numPr>
        <w:spacing w:after="120"/>
        <w:ind w:hanging="357"/>
        <w:contextualSpacing w:val="0"/>
        <w:rPr>
          <w:rFonts w:ascii="Times New Roman" w:hAnsi="Times New Roman" w:cs="Times New Roman" w:eastAsiaTheme="minorEastAsia"/>
          <w:iCs/>
          <w:sz w:val="20"/>
          <w:szCs w:val="20"/>
        </w:rPr>
      </w:pPr>
      <w:r>
        <w:rPr>
          <w:rFonts w:ascii="Times New Roman" w:hAnsi="Times New Roman" w:cs="Times New Roman"/>
          <w:sz w:val="20"/>
          <w:szCs w:val="20"/>
        </w:rPr>
        <w:t xml:space="preserve">Proposal </w:t>
      </w:r>
      <w:r>
        <w:rPr>
          <w:rFonts w:hint="eastAsia" w:ascii="Times New Roman" w:hAnsi="Times New Roman" w:cs="Times New Roman"/>
          <w:sz w:val="20"/>
          <w:szCs w:val="20"/>
        </w:rPr>
        <w:t>5</w:t>
      </w:r>
      <w:r>
        <w:rPr>
          <w:rFonts w:ascii="Times New Roman" w:hAnsi="Times New Roman" w:cs="Times New Roman"/>
          <w:sz w:val="20"/>
          <w:szCs w:val="20"/>
        </w:rPr>
        <w:t xml:space="preserve"> (</w:t>
      </w:r>
      <w:r>
        <w:rPr>
          <w:rFonts w:hint="eastAsia" w:ascii="Times New Roman" w:hAnsi="Times New Roman" w:cs="Times New Roman"/>
          <w:sz w:val="20"/>
          <w:szCs w:val="20"/>
        </w:rPr>
        <w:t>CATT, CMCC, HW</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eastAsiaTheme="minorEastAsia"/>
          <w:iCs/>
          <w:sz w:val="20"/>
          <w:szCs w:val="20"/>
        </w:rPr>
        <w:t>The SSB and CSI-RS based L1-RSRP measurement requirements for 1Rx and 2Rx (e)RedCap UEs with FR1-NTN bands will be the same.</w:t>
      </w:r>
    </w:p>
    <w:p w14:paraId="17CA88FB">
      <w:pPr>
        <w:pStyle w:val="29"/>
        <w:spacing w:after="120"/>
        <w:ind w:left="0" w:leftChars="0" w:firstLine="0" w:firstLineChars="0"/>
        <w:contextualSpacing w:val="0"/>
        <w:rPr>
          <w:rFonts w:ascii="Times New Roman" w:hAnsi="Times New Roman" w:cs="Times New Roman" w:eastAsiaTheme="minorEastAsia"/>
          <w:iCs/>
          <w:sz w:val="20"/>
          <w:szCs w:val="20"/>
          <w:highlight w:val="yellow"/>
        </w:rPr>
      </w:pPr>
    </w:p>
    <w:p w14:paraId="3BB25FD9">
      <w:pPr>
        <w:pStyle w:val="5"/>
        <w:spacing w:before="120" w:after="120" w:line="240" w:lineRule="auto"/>
        <w:rPr>
          <w:rFonts w:ascii="Times New Roman" w:hAnsi="Times New Roman" w:cs="Times New Roman"/>
          <w:sz w:val="20"/>
          <w:u w:val="single"/>
          <w:lang w:val="en-GB"/>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4-2</w:t>
      </w:r>
      <w:r>
        <w:rPr>
          <w:rFonts w:ascii="Times New Roman" w:hAnsi="Times New Roman" w:cs="Times New Roman"/>
          <w:sz w:val="20"/>
          <w:u w:val="single"/>
          <w:lang w:eastAsia="ko-KR"/>
        </w:rPr>
        <w:t>: Network verified UE location</w:t>
      </w:r>
      <w:r>
        <w:rPr>
          <w:rFonts w:hint="eastAsia" w:ascii="Times New Roman" w:hAnsi="Times New Roman" w:cs="Times New Roman"/>
          <w:sz w:val="20"/>
          <w:u w:val="single"/>
        </w:rPr>
        <w:t xml:space="preserve"> </w:t>
      </w:r>
      <w:r>
        <w:rPr>
          <w:rFonts w:ascii="Times New Roman" w:hAnsi="Times New Roman" w:cs="Times New Roman"/>
          <w:sz w:val="20"/>
          <w:u w:val="single"/>
          <w:lang w:eastAsia="ko-KR"/>
        </w:rPr>
        <w:t>for 1Rx/2Rx (e)RedCap UEs with FR1-NTN</w:t>
      </w:r>
    </w:p>
    <w:p w14:paraId="2F9EF2EC">
      <w:pPr>
        <w:rPr>
          <w:b/>
          <w:lang w:eastAsia="zh-CN"/>
        </w:rPr>
      </w:pPr>
      <w:r>
        <w:rPr>
          <w:b/>
        </w:rPr>
        <w:t>&lt;Way Forward&gt;</w:t>
      </w:r>
      <w:r>
        <w:rPr>
          <w:rFonts w:hint="eastAsia"/>
          <w:b/>
          <w:lang w:eastAsia="zh-CN"/>
        </w:rPr>
        <w:t>:</w:t>
      </w:r>
    </w:p>
    <w:p w14:paraId="013DF0B9">
      <w:pPr>
        <w:pStyle w:val="29"/>
        <w:numPr>
          <w:ilvl w:val="1"/>
          <w:numId w:val="6"/>
        </w:numPr>
        <w:spacing w:after="120"/>
        <w:ind w:left="1655" w:hanging="357"/>
        <w:contextualSpacing w:val="0"/>
        <w:rPr>
          <w:rFonts w:ascii="Times New Roman" w:hAnsi="Times New Roman" w:cs="Times New Roman" w:eastAsiaTheme="minorEastAsia"/>
          <w:iCs/>
          <w:sz w:val="20"/>
          <w:lang w:val="en-GB"/>
        </w:rPr>
      </w:pPr>
      <w:r>
        <w:rPr>
          <w:rFonts w:ascii="Times New Roman" w:hAnsi="Times New Roman" w:cs="Times New Roman"/>
          <w:sz w:val="20"/>
        </w:rPr>
        <w:t>Proposal 1 (vivo</w:t>
      </w:r>
      <w:r>
        <w:rPr>
          <w:rFonts w:hint="eastAsia" w:ascii="Times New Roman" w:hAnsi="Times New Roman" w:cs="Times New Roman"/>
          <w:sz w:val="20"/>
        </w:rPr>
        <w:t>, [QC?], HW</w:t>
      </w:r>
      <w:r>
        <w:rPr>
          <w:rFonts w:ascii="Times New Roman" w:hAnsi="Times New Roman" w:cs="Times New Roman"/>
          <w:sz w:val="20"/>
        </w:rPr>
        <w:t xml:space="preserve">): </w:t>
      </w:r>
    </w:p>
    <w:p w14:paraId="354206D4">
      <w:pPr>
        <w:pStyle w:val="29"/>
        <w:numPr>
          <w:ilvl w:val="2"/>
          <w:numId w:val="6"/>
        </w:numPr>
        <w:spacing w:before="120" w:after="120"/>
        <w:contextualSpacing w:val="0"/>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 xml:space="preserve">For 2Rx (e)RedCap UEs with FR1-NTN bands, the measurement period and measurement accuracy requirements for Network verified UE location defined in NTN can be reused. </w:t>
      </w:r>
    </w:p>
    <w:p w14:paraId="7BCA3CBC">
      <w:pPr>
        <w:pStyle w:val="29"/>
        <w:numPr>
          <w:ilvl w:val="2"/>
          <w:numId w:val="6"/>
        </w:numPr>
        <w:spacing w:before="120" w:after="120"/>
        <w:contextualSpacing w:val="0"/>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F</w:t>
      </w:r>
      <w:r>
        <w:rPr>
          <w:rFonts w:ascii="Times New Roman" w:hAnsi="Times New Roman" w:cs="Times New Roman" w:eastAsiaTheme="minorEastAsia"/>
          <w:iCs/>
          <w:sz w:val="20"/>
          <w:szCs w:val="20"/>
        </w:rPr>
        <w:t>or 1Rx (e)RedCap UEs with FR1-NTN bands, the measurement accuracy requirements defined for 1Rx RedCap positioning can be referred to, and the same relaxation for accuracy should be reused</w:t>
      </w:r>
      <w:r>
        <w:rPr>
          <w:rFonts w:hint="eastAsia" w:ascii="Times New Roman" w:hAnsi="Times New Roman" w:cs="Times New Roman" w:eastAsiaTheme="minorEastAsia"/>
          <w:iCs/>
          <w:sz w:val="20"/>
          <w:szCs w:val="20"/>
        </w:rPr>
        <w:t>.</w:t>
      </w:r>
    </w:p>
    <w:p w14:paraId="2FAD4111">
      <w:pPr>
        <w:pStyle w:val="29"/>
        <w:spacing w:before="120" w:after="120"/>
        <w:ind w:left="2376"/>
        <w:contextualSpacing w:val="0"/>
        <w:rPr>
          <w:rFonts w:ascii="Times New Roman" w:hAnsi="Times New Roman" w:cs="Times New Roman" w:eastAsiaTheme="minorEastAsia"/>
          <w:iCs/>
          <w:sz w:val="20"/>
          <w:szCs w:val="20"/>
          <w:highlight w:val="yellow"/>
        </w:rPr>
      </w:pPr>
    </w:p>
    <w:p w14:paraId="37382B6D">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2</w:t>
      </w:r>
      <w:r>
        <w:rPr>
          <w:rFonts w:ascii="Times New Roman" w:hAnsi="Times New Roman" w:cs="Times New Roman"/>
          <w:sz w:val="24"/>
          <w:szCs w:val="16"/>
        </w:rPr>
        <w:t>-</w:t>
      </w:r>
      <w:r>
        <w:rPr>
          <w:rFonts w:hint="eastAsia" w:ascii="Times New Roman" w:hAnsi="Times New Roman" w:cs="Times New Roman"/>
          <w:sz w:val="24"/>
          <w:szCs w:val="16"/>
        </w:rPr>
        <w:t>5</w:t>
      </w:r>
      <w:r>
        <w:rPr>
          <w:rFonts w:ascii="Times New Roman" w:hAnsi="Times New Roman" w:cs="Times New Roman"/>
          <w:sz w:val="24"/>
          <w:szCs w:val="16"/>
        </w:rPr>
        <w:t xml:space="preserve"> L1/L3</w:t>
      </w:r>
      <w:r>
        <w:rPr>
          <w:rFonts w:hint="eastAsia" w:ascii="Times New Roman" w:hAnsi="Times New Roman" w:cs="Times New Roman"/>
          <w:sz w:val="24"/>
          <w:szCs w:val="16"/>
        </w:rPr>
        <w:t xml:space="preserve"> m</w:t>
      </w:r>
      <w:r>
        <w:rPr>
          <w:rFonts w:ascii="Times New Roman" w:hAnsi="Times New Roman" w:cs="Times New Roman"/>
          <w:sz w:val="24"/>
          <w:szCs w:val="16"/>
        </w:rPr>
        <w:t>easurement accuracy</w:t>
      </w:r>
      <w:r>
        <w:rPr>
          <w:rFonts w:hint="eastAsia" w:ascii="Times New Roman" w:hAnsi="Times New Roman" w:cs="Times New Roman"/>
          <w:sz w:val="24"/>
          <w:szCs w:val="16"/>
        </w:rPr>
        <w:t xml:space="preserve"> for 1Rx/2Rx</w:t>
      </w:r>
      <w:r>
        <w:rPr>
          <w:rFonts w:ascii="Times New Roman" w:hAnsi="Times New Roman" w:cs="Times New Roman"/>
          <w:sz w:val="24"/>
          <w:szCs w:val="16"/>
        </w:rPr>
        <w:t xml:space="preserve"> (e)RedCap UEs with FR1-NTN</w:t>
      </w:r>
    </w:p>
    <w:p w14:paraId="1CD4994D">
      <w:pPr>
        <w:pStyle w:val="5"/>
        <w:spacing w:before="120" w:after="120" w:line="240" w:lineRule="auto"/>
        <w:rPr>
          <w:rFonts w:ascii="Times New Roman" w:hAnsi="Times New Roman" w:cs="Times New Roman"/>
          <w:sz w:val="20"/>
          <w:u w:val="single"/>
          <w:lang w:val="en-GB"/>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2</w:t>
      </w:r>
      <w:r>
        <w:rPr>
          <w:rFonts w:ascii="Times New Roman" w:hAnsi="Times New Roman" w:cs="Times New Roman"/>
          <w:sz w:val="20"/>
          <w:u w:val="single"/>
          <w:lang w:eastAsia="ko-KR"/>
        </w:rPr>
        <w:t>-</w:t>
      </w:r>
      <w:r>
        <w:rPr>
          <w:rFonts w:hint="eastAsia" w:ascii="Times New Roman" w:hAnsi="Times New Roman" w:cs="Times New Roman"/>
          <w:sz w:val="20"/>
          <w:u w:val="single"/>
        </w:rPr>
        <w:t>5-1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L1/L3 m</w:t>
      </w:r>
      <w:r>
        <w:rPr>
          <w:rFonts w:ascii="Times New Roman" w:hAnsi="Times New Roman" w:cs="Times New Roman"/>
          <w:sz w:val="20"/>
          <w:u w:val="single"/>
          <w:lang w:eastAsia="ko-KR"/>
        </w:rPr>
        <w:t>easurement accuracy for 1Rx/2Rx (e)RedCap UEs with FR1-NTN</w:t>
      </w:r>
    </w:p>
    <w:p w14:paraId="7EEF7D70">
      <w:pPr>
        <w:rPr>
          <w:b/>
          <w:lang w:eastAsia="zh-CN"/>
        </w:rPr>
      </w:pPr>
      <w:r>
        <w:rPr>
          <w:b/>
        </w:rPr>
        <w:t>&lt;Way Forward&gt;</w:t>
      </w:r>
      <w:r>
        <w:rPr>
          <w:rFonts w:hint="eastAsia"/>
          <w:b/>
          <w:lang w:eastAsia="zh-CN"/>
        </w:rPr>
        <w:t>:</w:t>
      </w:r>
    </w:p>
    <w:p w14:paraId="3EE7249F">
      <w:pPr>
        <w:pStyle w:val="29"/>
        <w:numPr>
          <w:ilvl w:val="1"/>
          <w:numId w:val="6"/>
        </w:numPr>
        <w:spacing w:after="120"/>
        <w:contextualSpacing w:val="0"/>
        <w:rPr>
          <w:rFonts w:ascii="Times New Roman" w:hAnsi="Times New Roman" w:cs="Times New Roman"/>
          <w:sz w:val="20"/>
          <w:szCs w:val="20"/>
        </w:rPr>
      </w:pPr>
      <w:r>
        <w:rPr>
          <w:rFonts w:hint="eastAsia" w:ascii="Times New Roman" w:hAnsi="Times New Roman" w:cs="Times New Roman"/>
          <w:sz w:val="20"/>
          <w:szCs w:val="20"/>
        </w:rPr>
        <w:t>F</w:t>
      </w:r>
      <w:r>
        <w:rPr>
          <w:rFonts w:ascii="Times New Roman" w:hAnsi="Times New Roman" w:cs="Times New Roman"/>
          <w:sz w:val="20"/>
          <w:szCs w:val="20"/>
        </w:rPr>
        <w:t>or 2Rx</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(e)RedCap UEs with FR1-NTN bands, </w:t>
      </w:r>
    </w:p>
    <w:p w14:paraId="4E8E1CB6">
      <w:pPr>
        <w:pStyle w:val="29"/>
        <w:numPr>
          <w:ilvl w:val="2"/>
          <w:numId w:val="6"/>
        </w:numPr>
        <w:spacing w:after="120"/>
        <w:ind w:hanging="357"/>
        <w:contextualSpacing w:val="0"/>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Proposal 1 (CATT</w:t>
      </w:r>
      <w:r>
        <w:rPr>
          <w:rFonts w:hint="eastAsia" w:ascii="Times New Roman" w:hAnsi="Times New Roman" w:cs="Times New Roman" w:eastAsiaTheme="minorEastAsia"/>
          <w:iCs/>
          <w:sz w:val="20"/>
          <w:szCs w:val="20"/>
        </w:rPr>
        <w:t>, Samsung, CMCC, ZTE</w:t>
      </w:r>
      <w:r>
        <w:rPr>
          <w:rFonts w:ascii="Times New Roman" w:hAnsi="Times New Roman" w:cs="Times New Roman" w:eastAsiaTheme="minorEastAsia"/>
          <w:iCs/>
          <w:sz w:val="20"/>
          <w:szCs w:val="20"/>
        </w:rPr>
        <w:t>):</w:t>
      </w:r>
      <w:r>
        <w:rPr>
          <w:rFonts w:hint="eastAsia"/>
        </w:rPr>
        <w:t xml:space="preserve"> </w:t>
      </w:r>
      <w:r>
        <w:rPr>
          <w:rFonts w:ascii="Times New Roman" w:hAnsi="Times New Roman" w:cs="Times New Roman" w:eastAsiaTheme="minorEastAsia"/>
          <w:iCs/>
          <w:sz w:val="20"/>
          <w:szCs w:val="20"/>
        </w:rPr>
        <w:t>RAN4 to reuse the measurement accuracy requirements for normal UEs</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defined in NTN</w:t>
      </w:r>
      <w:r>
        <w:rPr>
          <w:rFonts w:hint="eastAsia" w:ascii="Times New Roman" w:hAnsi="Times New Roman" w:cs="Times New Roman" w:eastAsiaTheme="minorEastAsia"/>
          <w:iCs/>
          <w:sz w:val="20"/>
          <w:szCs w:val="20"/>
        </w:rPr>
        <w:t>.</w:t>
      </w:r>
    </w:p>
    <w:p w14:paraId="15C372D6">
      <w:pPr>
        <w:pStyle w:val="29"/>
        <w:numPr>
          <w:ilvl w:val="1"/>
          <w:numId w:val="6"/>
        </w:numPr>
        <w:spacing w:after="120"/>
        <w:ind w:left="1655" w:hanging="357"/>
        <w:contextualSpacing w:val="0"/>
        <w:rPr>
          <w:rFonts w:ascii="Times New Roman" w:hAnsi="Times New Roman" w:cs="Times New Roman"/>
          <w:sz w:val="20"/>
          <w:szCs w:val="20"/>
        </w:rPr>
      </w:pPr>
      <w:r>
        <w:rPr>
          <w:rFonts w:hint="eastAsia" w:ascii="Times New Roman" w:hAnsi="Times New Roman" w:cs="Times New Roman"/>
          <w:sz w:val="20"/>
          <w:szCs w:val="20"/>
        </w:rPr>
        <w:t>For 1</w:t>
      </w:r>
      <w:r>
        <w:rPr>
          <w:rFonts w:ascii="Times New Roman" w:hAnsi="Times New Roman" w:cs="Times New Roman"/>
          <w:sz w:val="20"/>
          <w:szCs w:val="20"/>
        </w:rPr>
        <w:t>Rx</w:t>
      </w:r>
      <w:r>
        <w:rPr>
          <w:rFonts w:hint="eastAsia" w:ascii="Times New Roman" w:hAnsi="Times New Roman" w:cs="Times New Roman"/>
          <w:sz w:val="20"/>
          <w:szCs w:val="20"/>
        </w:rPr>
        <w:t xml:space="preserve"> </w:t>
      </w:r>
      <w:r>
        <w:rPr>
          <w:rFonts w:ascii="Times New Roman" w:hAnsi="Times New Roman" w:cs="Times New Roman"/>
          <w:sz w:val="20"/>
          <w:szCs w:val="20"/>
        </w:rPr>
        <w:t>(e)RedCap UEs with FR1-NTN bands</w:t>
      </w:r>
      <w:r>
        <w:rPr>
          <w:rFonts w:hint="eastAsia" w:ascii="Times New Roman" w:hAnsi="Times New Roman" w:cs="Times New Roman"/>
          <w:sz w:val="20"/>
          <w:szCs w:val="20"/>
        </w:rPr>
        <w:t xml:space="preserve">, </w:t>
      </w:r>
    </w:p>
    <w:p w14:paraId="687F20E7">
      <w:pPr>
        <w:pStyle w:val="29"/>
        <w:numPr>
          <w:ilvl w:val="2"/>
          <w:numId w:val="6"/>
        </w:numPr>
        <w:rPr>
          <w:rFonts w:ascii="Times New Roman" w:hAnsi="Times New Roman" w:cs="Times New Roman" w:eastAsiaTheme="minorEastAsia"/>
          <w:iCs/>
          <w:sz w:val="20"/>
          <w:szCs w:val="20"/>
        </w:rPr>
      </w:pPr>
      <w:r>
        <w:rPr>
          <w:rFonts w:ascii="Times New Roman" w:hAnsi="Times New Roman" w:cs="Times New Roman" w:eastAsiaTheme="minorEastAsia"/>
          <w:iCs/>
          <w:sz w:val="20"/>
          <w:szCs w:val="20"/>
        </w:rPr>
        <w:t>Proposal 1 (CATT</w:t>
      </w:r>
      <w:r>
        <w:rPr>
          <w:rFonts w:hint="eastAsia" w:ascii="Times New Roman" w:hAnsi="Times New Roman" w:cs="Times New Roman" w:eastAsiaTheme="minorEastAsia"/>
          <w:iCs/>
          <w:sz w:val="20"/>
          <w:szCs w:val="20"/>
        </w:rPr>
        <w:t>, Xiaomi, Samsung, [QC?], CMCC, ZTE, [OPPO?], HW</w:t>
      </w:r>
      <w:r>
        <w:rPr>
          <w:rFonts w:ascii="Times New Roman" w:hAnsi="Times New Roman" w:cs="Times New Roman" w:eastAsiaTheme="minorEastAsia"/>
          <w:iCs/>
          <w:sz w:val="20"/>
          <w:szCs w:val="20"/>
        </w:rPr>
        <w:t>):</w:t>
      </w:r>
      <w:r>
        <w:rPr>
          <w:rFonts w:hint="eastAsia"/>
        </w:rPr>
        <w:t xml:space="preserve"> </w:t>
      </w:r>
      <w:r>
        <w:rPr>
          <w:rFonts w:hint="eastAsia" w:ascii="Times New Roman" w:hAnsi="Times New Roman" w:cs="Times New Roman" w:eastAsiaTheme="minorEastAsia"/>
          <w:iCs/>
          <w:sz w:val="20"/>
          <w:szCs w:val="20"/>
        </w:rPr>
        <w:t>RAN4</w:t>
      </w:r>
      <w:r>
        <w:rPr>
          <w:rFonts w:ascii="Times New Roman" w:hAnsi="Times New Roman" w:cs="Times New Roman" w:eastAsiaTheme="minorEastAsia"/>
          <w:iCs/>
          <w:sz w:val="20"/>
          <w:szCs w:val="20"/>
        </w:rPr>
        <w:t xml:space="preserve"> to relax the </w:t>
      </w:r>
      <w:r>
        <w:rPr>
          <w:rFonts w:hint="eastAsia" w:ascii="Times New Roman" w:hAnsi="Times New Roman" w:cs="Times New Roman" w:eastAsiaTheme="minorEastAsia"/>
          <w:iCs/>
          <w:sz w:val="20"/>
          <w:szCs w:val="20"/>
        </w:rPr>
        <w:t xml:space="preserve">L1/L3 </w:t>
      </w:r>
      <w:r>
        <w:rPr>
          <w:rFonts w:ascii="Times New Roman" w:hAnsi="Times New Roman" w:cs="Times New Roman" w:eastAsiaTheme="minorEastAsia"/>
          <w:iCs/>
          <w:sz w:val="20"/>
          <w:szCs w:val="20"/>
        </w:rPr>
        <w:t>measurement accuracy for SS-RSRP, SS-RSRQ, SS-SINR and L1-RSRP compared to those defined for 2Rx (e)RedCap UEs.</w:t>
      </w:r>
    </w:p>
    <w:p w14:paraId="30EF305F">
      <w:pPr>
        <w:pStyle w:val="29"/>
        <w:keepNext w:val="0"/>
        <w:keepLines w:val="0"/>
        <w:pageBreakBefore w:val="0"/>
        <w:widowControl/>
        <w:numPr>
          <w:ilvl w:val="3"/>
          <w:numId w:val="6"/>
        </w:numPr>
        <w:kinsoku/>
        <w:wordWrap/>
        <w:overflowPunct/>
        <w:topLinePunct w:val="0"/>
        <w:autoSpaceDE/>
        <w:autoSpaceDN/>
        <w:bidi w:val="0"/>
        <w:adjustRightInd/>
        <w:snapToGrid/>
        <w:spacing w:after="0"/>
        <w:ind w:left="3095" w:hanging="357"/>
        <w:contextualSpacing w:val="0"/>
        <w:textAlignment w:val="auto"/>
        <w:rPr>
          <w:rFonts w:ascii="Times New Roman" w:hAnsi="Times New Roman" w:cs="Times New Roman" w:eastAsiaTheme="minorEastAsia"/>
          <w:iCs/>
          <w:sz w:val="20"/>
          <w:szCs w:val="20"/>
        </w:rPr>
      </w:pPr>
      <w:r>
        <w:rPr>
          <w:rFonts w:hint="eastAsia" w:ascii="Times New Roman" w:hAnsi="Times New Roman" w:cs="Times New Roman" w:eastAsiaTheme="minorEastAsia"/>
          <w:iCs/>
          <w:sz w:val="20"/>
          <w:szCs w:val="20"/>
        </w:rPr>
        <w:t>The same</w:t>
      </w:r>
      <w:r>
        <w:rPr>
          <w:rFonts w:ascii="Times New Roman" w:hAnsi="Times New Roman" w:cs="Times New Roman" w:eastAsiaTheme="minorEastAsia"/>
          <w:iCs/>
          <w:sz w:val="20"/>
          <w:szCs w:val="20"/>
        </w:rPr>
        <w:t xml:space="preserve"> relaxation</w:t>
      </w:r>
      <w:r>
        <w:rPr>
          <w:rFonts w:hint="eastAsia" w:ascii="Times New Roman" w:hAnsi="Times New Roman" w:cs="Times New Roman" w:eastAsiaTheme="minorEastAsia"/>
          <w:iCs/>
          <w:sz w:val="20"/>
          <w:szCs w:val="20"/>
        </w:rPr>
        <w:t xml:space="preserve"> defined in TN </w:t>
      </w:r>
      <w:r>
        <w:rPr>
          <w:rFonts w:ascii="Times New Roman" w:hAnsi="Times New Roman" w:cs="Times New Roman" w:eastAsiaTheme="minorEastAsia"/>
          <w:iCs/>
          <w:sz w:val="20"/>
          <w:szCs w:val="20"/>
        </w:rPr>
        <w:t>for 1Rx</w:t>
      </w:r>
      <w:r>
        <w:rPr>
          <w:rFonts w:hint="eastAsia" w:ascii="Times New Roman" w:hAnsi="Times New Roman" w:cs="Times New Roman" w:eastAsiaTheme="minorEastAsia"/>
          <w:iCs/>
          <w:sz w:val="20"/>
          <w:szCs w:val="20"/>
        </w:rPr>
        <w:t xml:space="preserve"> </w:t>
      </w:r>
      <w:r>
        <w:rPr>
          <w:rFonts w:ascii="Times New Roman" w:hAnsi="Times New Roman" w:cs="Times New Roman" w:eastAsiaTheme="minorEastAsia"/>
          <w:iCs/>
          <w:sz w:val="20"/>
          <w:szCs w:val="20"/>
        </w:rPr>
        <w:t>(e)RedCap UEs</w:t>
      </w:r>
      <w:r>
        <w:rPr>
          <w:rFonts w:hint="eastAsia" w:ascii="Times New Roman" w:hAnsi="Times New Roman" w:cs="Times New Roman" w:eastAsiaTheme="minorEastAsia"/>
          <w:iCs/>
          <w:sz w:val="20"/>
          <w:szCs w:val="20"/>
        </w:rPr>
        <w:t xml:space="preserve"> can be reused.</w:t>
      </w:r>
    </w:p>
    <w:p w14:paraId="737F6A04">
      <w:pPr>
        <w:pStyle w:val="29"/>
        <w:keepNext w:val="0"/>
        <w:keepLines w:val="0"/>
        <w:pageBreakBefore w:val="0"/>
        <w:widowControl/>
        <w:numPr>
          <w:ilvl w:val="0"/>
          <w:numId w:val="14"/>
        </w:numPr>
        <w:kinsoku/>
        <w:wordWrap/>
        <w:overflowPunct/>
        <w:topLinePunct w:val="0"/>
        <w:autoSpaceDE/>
        <w:autoSpaceDN/>
        <w:bidi w:val="0"/>
        <w:adjustRightInd/>
        <w:snapToGrid/>
        <w:spacing w:after="0"/>
        <w:ind w:left="3515" w:hanging="420"/>
        <w:contextualSpacing w:val="0"/>
        <w:textAlignment w:val="auto"/>
        <w:rPr>
          <w:rFonts w:ascii="Times New Roman" w:hAnsi="Times New Roman" w:cs="Times New Roman" w:eastAsiaTheme="minorEastAsia"/>
          <w:iCs/>
          <w:sz w:val="18"/>
          <w:szCs w:val="18"/>
        </w:rPr>
      </w:pPr>
      <w:r>
        <w:rPr>
          <w:rFonts w:ascii="Times New Roman" w:hAnsi="Times New Roman" w:cs="Times New Roman"/>
          <w:kern w:val="2"/>
          <w:sz w:val="20"/>
          <w:szCs w:val="18"/>
          <w:lang w:val="en-GB"/>
        </w:rPr>
        <w:t>SS-RSRP, SS-RSRQ, SS-SINR</w:t>
      </w:r>
      <w:r>
        <w:rPr>
          <w:rFonts w:hint="eastAsia" w:ascii="Times New Roman" w:hAnsi="Times New Roman" w:cs="Times New Roman"/>
          <w:kern w:val="2"/>
          <w:sz w:val="20"/>
          <w:szCs w:val="18"/>
          <w:lang w:val="en-GB"/>
        </w:rPr>
        <w:t xml:space="preserve">: </w:t>
      </w:r>
      <w:r>
        <w:rPr>
          <w:rFonts w:ascii="Times New Roman" w:hAnsi="Times New Roman" w:cs="Times New Roman"/>
          <w:kern w:val="2"/>
          <w:sz w:val="20"/>
          <w:szCs w:val="18"/>
          <w:lang w:val="en-GB"/>
        </w:rPr>
        <w:t>relax by 1dB</w:t>
      </w:r>
      <w:r>
        <w:rPr>
          <w:rFonts w:hint="eastAsia" w:ascii="Times New Roman" w:hAnsi="Times New Roman" w:cs="Times New Roman"/>
          <w:kern w:val="2"/>
          <w:sz w:val="20"/>
          <w:szCs w:val="18"/>
          <w:lang w:val="en-GB"/>
        </w:rPr>
        <w:t>.</w:t>
      </w:r>
    </w:p>
    <w:p w14:paraId="42436144">
      <w:pPr>
        <w:pStyle w:val="29"/>
        <w:numPr>
          <w:ilvl w:val="0"/>
          <w:numId w:val="14"/>
        </w:numPr>
        <w:spacing w:after="120"/>
        <w:contextualSpacing w:val="0"/>
        <w:rPr>
          <w:rFonts w:ascii="Times New Roman" w:hAnsi="Times New Roman" w:cs="Times New Roman" w:eastAsiaTheme="minorEastAsia"/>
          <w:iCs/>
          <w:sz w:val="18"/>
          <w:szCs w:val="18"/>
        </w:rPr>
      </w:pPr>
      <w:r>
        <w:rPr>
          <w:rFonts w:ascii="Times New Roman" w:hAnsi="Times New Roman" w:cs="Times New Roman"/>
          <w:kern w:val="2"/>
          <w:sz w:val="20"/>
          <w:szCs w:val="18"/>
          <w:lang w:val="en-GB"/>
        </w:rPr>
        <w:t>L1-RSRP</w:t>
      </w:r>
      <w:r>
        <w:rPr>
          <w:rFonts w:hint="eastAsia" w:ascii="Times New Roman" w:hAnsi="Times New Roman" w:cs="Times New Roman"/>
          <w:kern w:val="2"/>
          <w:sz w:val="20"/>
          <w:szCs w:val="18"/>
          <w:lang w:val="en-GB"/>
        </w:rPr>
        <w:t>:</w:t>
      </w:r>
      <w:r>
        <w:rPr>
          <w:rFonts w:ascii="Times New Roman" w:hAnsi="Times New Roman" w:cs="Times New Roman"/>
          <w:kern w:val="2"/>
          <w:sz w:val="20"/>
          <w:szCs w:val="18"/>
          <w:lang w:val="en-GB"/>
        </w:rPr>
        <w:t xml:space="preserve"> relax by 3dB.</w:t>
      </w:r>
    </w:p>
    <w:p w14:paraId="12A8F386">
      <w:pPr>
        <w:spacing w:after="120"/>
        <w:rPr>
          <w:rFonts w:eastAsiaTheme="minorEastAsia"/>
          <w:szCs w:val="24"/>
          <w:lang w:eastAsia="zh-CN"/>
        </w:rPr>
      </w:pPr>
    </w:p>
    <w:p w14:paraId="19271E92">
      <w:pPr>
        <w:pStyle w:val="2"/>
        <w:ind w:left="432" w:hanging="432"/>
        <w:rPr>
          <w:lang w:val="en-US" w:eastAsia="ja-JP"/>
        </w:rPr>
      </w:pPr>
      <w:r>
        <w:rPr>
          <w:rFonts w:hint="eastAsia" w:eastAsia="宋体"/>
          <w:lang w:val="en-US" w:eastAsia="zh-CN"/>
        </w:rPr>
        <w:t xml:space="preserve">3 </w:t>
      </w:r>
      <w:r>
        <w:rPr>
          <w:lang w:val="en-US" w:eastAsia="ja-JP"/>
        </w:rPr>
        <w:t>Topic #</w:t>
      </w:r>
      <w:r>
        <w:rPr>
          <w:rFonts w:hint="eastAsia" w:eastAsia="宋体"/>
          <w:lang w:val="en-US" w:eastAsia="zh-CN"/>
        </w:rPr>
        <w:t>3</w:t>
      </w:r>
      <w:r>
        <w:rPr>
          <w:lang w:val="en-US" w:eastAsia="ja-JP"/>
        </w:rPr>
        <w:t>: The impact of HD-FDD</w:t>
      </w:r>
    </w:p>
    <w:p w14:paraId="4AECD945">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3</w:t>
      </w:r>
      <w:r>
        <w:rPr>
          <w:rFonts w:ascii="Times New Roman" w:hAnsi="Times New Roman" w:cs="Times New Roman"/>
          <w:sz w:val="24"/>
          <w:szCs w:val="16"/>
        </w:rPr>
        <w:t xml:space="preserve">-1 </w:t>
      </w:r>
      <w:r>
        <w:rPr>
          <w:rFonts w:hint="eastAsia" w:ascii="Times New Roman" w:hAnsi="Times New Roman" w:cs="Times New Roman"/>
          <w:sz w:val="24"/>
          <w:szCs w:val="16"/>
        </w:rPr>
        <w:t>General HD-FDD related impact</w:t>
      </w:r>
    </w:p>
    <w:p w14:paraId="721C80E5">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3</w:t>
      </w:r>
      <w:r>
        <w:rPr>
          <w:rFonts w:ascii="Times New Roman" w:hAnsi="Times New Roman" w:cs="Times New Roman"/>
          <w:sz w:val="20"/>
          <w:u w:val="single"/>
          <w:lang w:eastAsia="ko-KR"/>
        </w:rPr>
        <w:t>-1</w:t>
      </w:r>
      <w:r>
        <w:rPr>
          <w:rFonts w:hint="eastAsia" w:ascii="Times New Roman" w:hAnsi="Times New Roman" w:cs="Times New Roman"/>
          <w:sz w:val="20"/>
          <w:u w:val="single"/>
        </w:rPr>
        <w:t>-1</w:t>
      </w:r>
      <w:r>
        <w:rPr>
          <w:rFonts w:ascii="Times New Roman" w:hAnsi="Times New Roman" w:cs="Times New Roman"/>
          <w:sz w:val="20"/>
          <w:u w:val="single"/>
          <w:lang w:eastAsia="ko-KR"/>
        </w:rPr>
        <w:t xml:space="preserve">: </w:t>
      </w:r>
      <w:r>
        <w:rPr>
          <w:rFonts w:ascii="Times New Roman" w:hAnsi="Times New Roman" w:cs="Times New Roman"/>
          <w:sz w:val="20"/>
          <w:u w:val="single"/>
        </w:rPr>
        <w:t>General HD-FDD related impact</w:t>
      </w:r>
    </w:p>
    <w:p w14:paraId="4C37E168">
      <w:r>
        <w:rPr>
          <w:b/>
        </w:rPr>
        <w:t>&lt;Way Forward&gt;</w:t>
      </w:r>
      <w:r>
        <w:rPr>
          <w:rFonts w:hint="eastAsia"/>
          <w:b/>
          <w:lang w:eastAsia="zh-CN"/>
        </w:rPr>
        <w:t>:</w:t>
      </w:r>
    </w:p>
    <w:p w14:paraId="7FCCBBD2">
      <w:pPr>
        <w:pStyle w:val="29"/>
        <w:numPr>
          <w:ilvl w:val="1"/>
          <w:numId w:val="6"/>
        </w:numPr>
        <w:spacing w:after="120"/>
        <w:contextualSpacing w:val="0"/>
        <w:rPr>
          <w:rFonts w:ascii="Times New Roman" w:hAnsi="Times New Roman" w:cs="Times New Roman"/>
          <w:bCs/>
          <w:sz w:val="20"/>
        </w:rPr>
      </w:pPr>
      <w:r>
        <w:rPr>
          <w:rFonts w:ascii="Times New Roman" w:hAnsi="Times New Roman" w:cs="Times New Roman"/>
          <w:sz w:val="20"/>
        </w:rPr>
        <w:t>Proposal 1 (</w:t>
      </w:r>
      <w:r>
        <w:rPr>
          <w:rFonts w:hint="eastAsia" w:ascii="Times New Roman" w:hAnsi="Times New Roman" w:cs="Times New Roman"/>
          <w:sz w:val="20"/>
        </w:rPr>
        <w:t xml:space="preserve">CATT, </w:t>
      </w:r>
      <w:r>
        <w:rPr>
          <w:rFonts w:ascii="Times New Roman" w:hAnsi="Times New Roman" w:cs="Times New Roman"/>
          <w:sz w:val="20"/>
        </w:rPr>
        <w:t>Xiaomi</w:t>
      </w:r>
      <w:r>
        <w:rPr>
          <w:rFonts w:hint="eastAsia" w:ascii="Times New Roman" w:hAnsi="Times New Roman" w:cs="Times New Roman"/>
          <w:sz w:val="20"/>
        </w:rPr>
        <w:t xml:space="preserve">, Samsung, QC, CMCC, ZTE, </w:t>
      </w:r>
      <w:r>
        <w:rPr>
          <w:rFonts w:ascii="Times New Roman" w:hAnsi="Times New Roman" w:cs="Times New Roman"/>
          <w:sz w:val="20"/>
        </w:rPr>
        <w:t xml:space="preserve">Ericsson, HW): </w:t>
      </w:r>
    </w:p>
    <w:p w14:paraId="4C58BCA7">
      <w:pPr>
        <w:pStyle w:val="29"/>
        <w:numPr>
          <w:ilvl w:val="2"/>
          <w:numId w:val="6"/>
        </w:numPr>
        <w:snapToGrid w:val="0"/>
        <w:spacing w:before="120"/>
        <w:ind w:hanging="357"/>
        <w:contextualSpacing w:val="0"/>
        <w:rPr>
          <w:rFonts w:ascii="Times New Roman" w:hAnsi="Times New Roman" w:cs="Times New Roman" w:eastAsiaTheme="minorEastAsia"/>
          <w:iCs/>
          <w:sz w:val="20"/>
        </w:rPr>
      </w:pPr>
      <w:r>
        <w:rPr>
          <w:rFonts w:hint="eastAsia" w:ascii="Times New Roman" w:hAnsi="Times New Roman" w:cs="Times New Roman" w:eastAsiaTheme="minorEastAsia"/>
          <w:iCs/>
          <w:sz w:val="20"/>
        </w:rPr>
        <w:t>The legacy requirements and applicable conditions can be as baseline for defining requirements of RedCap UE in NTN scenario.</w:t>
      </w:r>
    </w:p>
    <w:p w14:paraId="24BBDC52">
      <w:pPr>
        <w:pStyle w:val="29"/>
        <w:numPr>
          <w:ilvl w:val="2"/>
          <w:numId w:val="6"/>
        </w:numPr>
        <w:snapToGrid w:val="0"/>
        <w:spacing w:after="120"/>
        <w:ind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 xml:space="preserve">RAN4 to check whether existing HD-FDD related requirements </w:t>
      </w:r>
      <w:r>
        <w:rPr>
          <w:rFonts w:hint="eastAsia" w:ascii="Times New Roman" w:hAnsi="Times New Roman" w:cs="Times New Roman" w:eastAsiaTheme="minorEastAsia"/>
          <w:iCs/>
          <w:sz w:val="20"/>
        </w:rPr>
        <w:t>and applicable conditions</w:t>
      </w:r>
      <w:r>
        <w:rPr>
          <w:rFonts w:ascii="Times New Roman" w:hAnsi="Times New Roman" w:cs="Times New Roman" w:eastAsiaTheme="minorEastAsia"/>
          <w:iCs/>
          <w:sz w:val="20"/>
        </w:rPr>
        <w:t xml:space="preserve"> can be reused or not after RAN1 reaching further conclusions.</w:t>
      </w:r>
    </w:p>
    <w:p w14:paraId="739777B1">
      <w:pPr>
        <w:pStyle w:val="29"/>
        <w:numPr>
          <w:ilvl w:val="2"/>
          <w:numId w:val="6"/>
        </w:numPr>
        <w:snapToGrid w:val="0"/>
        <w:ind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Proposal 1</w:t>
      </w:r>
      <w:r>
        <w:rPr>
          <w:rFonts w:hint="eastAsia" w:ascii="Times New Roman" w:hAnsi="Times New Roman" w:cs="Times New Roman" w:eastAsiaTheme="minorEastAsia"/>
          <w:iCs/>
          <w:sz w:val="20"/>
        </w:rPr>
        <w:t>a</w:t>
      </w:r>
      <w:r>
        <w:rPr>
          <w:rFonts w:ascii="Times New Roman" w:hAnsi="Times New Roman" w:cs="Times New Roman" w:eastAsiaTheme="minorEastAsia"/>
          <w:iCs/>
          <w:sz w:val="20"/>
        </w:rPr>
        <w:t xml:space="preserve"> (CATT</w:t>
      </w:r>
      <w:r>
        <w:rPr>
          <w:rFonts w:hint="eastAsia" w:ascii="Times New Roman" w:hAnsi="Times New Roman" w:cs="Times New Roman" w:eastAsiaTheme="minorEastAsia"/>
          <w:iCs/>
          <w:sz w:val="20"/>
        </w:rPr>
        <w:t>, HW, MTK</w:t>
      </w:r>
      <w:r>
        <w:rPr>
          <w:rFonts w:ascii="Times New Roman" w:hAnsi="Times New Roman" w:cs="Times New Roman" w:eastAsiaTheme="minorEastAsia"/>
          <w:iCs/>
          <w:sz w:val="20"/>
        </w:rPr>
        <w:t xml:space="preserve">): </w:t>
      </w:r>
    </w:p>
    <w:p w14:paraId="13F45FBD">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rPr>
      </w:pPr>
      <w:r>
        <w:rPr>
          <w:rFonts w:hint="eastAsia" w:ascii="Times New Roman" w:hAnsi="Times New Roman" w:cs="Times New Roman" w:eastAsiaTheme="minorEastAsia"/>
          <w:iCs/>
          <w:sz w:val="20"/>
        </w:rPr>
        <w:t xml:space="preserve">To following the TN, at least the following </w:t>
      </w:r>
      <w:r>
        <w:rPr>
          <w:rFonts w:ascii="Times New Roman" w:hAnsi="Times New Roman" w:cs="Times New Roman" w:eastAsiaTheme="minorEastAsia"/>
          <w:iCs/>
          <w:sz w:val="20"/>
        </w:rPr>
        <w:t>requirements</w:t>
      </w:r>
      <w:r>
        <w:rPr>
          <w:rFonts w:hint="eastAsia" w:ascii="Times New Roman" w:hAnsi="Times New Roman" w:cs="Times New Roman" w:eastAsiaTheme="minorEastAsia"/>
          <w:iCs/>
          <w:sz w:val="20"/>
        </w:rPr>
        <w:t xml:space="preserve"> will be affected by</w:t>
      </w:r>
      <w:r>
        <w:rPr>
          <w:rFonts w:ascii="Times New Roman" w:hAnsi="Times New Roman" w:cs="Times New Roman" w:eastAsiaTheme="minorEastAsia"/>
          <w:iCs/>
          <w:sz w:val="20"/>
        </w:rPr>
        <w:t xml:space="preserve"> HD-FDD</w:t>
      </w:r>
      <w:r>
        <w:rPr>
          <w:rFonts w:hint="eastAsia" w:ascii="Times New Roman" w:hAnsi="Times New Roman" w:cs="Times New Roman" w:eastAsiaTheme="minorEastAsia"/>
          <w:iCs/>
          <w:sz w:val="20"/>
        </w:rPr>
        <w:t xml:space="preserve"> </w:t>
      </w:r>
      <w:r>
        <w:rPr>
          <w:rFonts w:ascii="Times New Roman" w:hAnsi="Times New Roman" w:cs="Times New Roman" w:eastAsiaTheme="minorEastAsia"/>
          <w:iCs/>
          <w:sz w:val="20"/>
        </w:rPr>
        <w:t>for (e)RedCap UE</w:t>
      </w:r>
      <w:r>
        <w:rPr>
          <w:rFonts w:hint="eastAsia" w:ascii="Times New Roman" w:hAnsi="Times New Roman" w:cs="Times New Roman" w:eastAsiaTheme="minorEastAsia"/>
          <w:iCs/>
          <w:sz w:val="20"/>
        </w:rPr>
        <w:t xml:space="preserve"> </w:t>
      </w:r>
      <w:r>
        <w:rPr>
          <w:rFonts w:ascii="Times New Roman" w:hAnsi="Times New Roman" w:cs="Times New Roman" w:eastAsiaTheme="minorEastAsia"/>
          <w:iCs/>
          <w:sz w:val="20"/>
        </w:rPr>
        <w:t>with FR1-NTN</w:t>
      </w:r>
      <w:r>
        <w:rPr>
          <w:rFonts w:hint="eastAsia" w:ascii="Times New Roman" w:hAnsi="Times New Roman" w:cs="Times New Roman" w:eastAsiaTheme="minorEastAsia"/>
          <w:iCs/>
          <w:sz w:val="20"/>
        </w:rPr>
        <w:t>:</w:t>
      </w:r>
    </w:p>
    <w:p w14:paraId="3FCA9574">
      <w:pPr>
        <w:pStyle w:val="29"/>
        <w:numPr>
          <w:ilvl w:val="0"/>
          <w:numId w:val="15"/>
        </w:numPr>
        <w:contextualSpacing w:val="0"/>
        <w:rPr>
          <w:rFonts w:ascii="Times New Roman" w:hAnsi="Times New Roman" w:cs="Times New Roman" w:eastAsiaTheme="minorEastAsia"/>
          <w:iCs/>
          <w:sz w:val="20"/>
        </w:rPr>
      </w:pPr>
      <w:r>
        <w:rPr>
          <w:rFonts w:hint="eastAsia" w:ascii="Times New Roman" w:hAnsi="Times New Roman" w:cs="Times New Roman" w:eastAsiaTheme="minorEastAsia"/>
          <w:iCs/>
          <w:sz w:val="20"/>
        </w:rPr>
        <w:t>P</w:t>
      </w:r>
      <w:r>
        <w:rPr>
          <w:rFonts w:ascii="Times New Roman" w:hAnsi="Times New Roman" w:cs="Times New Roman" w:eastAsiaTheme="minorEastAsia"/>
          <w:iCs/>
          <w:sz w:val="20"/>
        </w:rPr>
        <w:t>aging reception requirements</w:t>
      </w:r>
      <w:r>
        <w:rPr>
          <w:rFonts w:hint="eastAsia" w:ascii="Times New Roman" w:hAnsi="Times New Roman" w:cs="Times New Roman" w:eastAsiaTheme="minorEastAsia"/>
          <w:iCs/>
          <w:sz w:val="20"/>
        </w:rPr>
        <w:t xml:space="preserve"> </w:t>
      </w:r>
      <w:r>
        <w:rPr>
          <w:rFonts w:ascii="Times New Roman" w:hAnsi="Times New Roman" w:cs="Times New Roman" w:eastAsiaTheme="minorEastAsia"/>
          <w:iCs/>
          <w:sz w:val="20"/>
        </w:rPr>
        <w:t>in RRC_IDLE/ RRC_INACTIVE state</w:t>
      </w:r>
    </w:p>
    <w:p w14:paraId="415E63C4">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Handover</w:t>
      </w:r>
      <w:r>
        <w:rPr>
          <w:rFonts w:hint="eastAsia" w:ascii="Times New Roman" w:hAnsi="Times New Roman" w:cs="Times New Roman" w:eastAsiaTheme="minorEastAsia"/>
          <w:iCs/>
          <w:sz w:val="20"/>
        </w:rPr>
        <w:t xml:space="preserve"> i</w:t>
      </w:r>
      <w:r>
        <w:rPr>
          <w:rFonts w:ascii="Times New Roman" w:hAnsi="Times New Roman" w:cs="Times New Roman" w:eastAsiaTheme="minorEastAsia"/>
          <w:iCs/>
          <w:sz w:val="20"/>
        </w:rPr>
        <w:t>nterruption time</w:t>
      </w:r>
    </w:p>
    <w:p w14:paraId="6628F4EB">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Random access</w:t>
      </w:r>
    </w:p>
    <w:p w14:paraId="72EAEFE5">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SA: RRC Connection Release with Redirection</w:t>
      </w:r>
    </w:p>
    <w:p w14:paraId="719651CB">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Minimum requirement for L1 indication</w:t>
      </w:r>
      <w:r>
        <w:rPr>
          <w:rFonts w:hint="eastAsia" w:ascii="Times New Roman" w:hAnsi="Times New Roman" w:cs="Times New Roman" w:eastAsiaTheme="minorEastAsia"/>
          <w:iCs/>
          <w:sz w:val="20"/>
        </w:rPr>
        <w:t xml:space="preserve"> for RLM and LR</w:t>
      </w:r>
    </w:p>
    <w:p w14:paraId="11DD911F">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MAC-CE</w:t>
      </w:r>
      <w:r>
        <w:rPr>
          <w:rFonts w:hint="eastAsia" w:ascii="Times New Roman" w:hAnsi="Times New Roman" w:cs="Times New Roman" w:eastAsiaTheme="minorEastAsia"/>
          <w:iCs/>
          <w:sz w:val="20"/>
        </w:rPr>
        <w:t>/</w:t>
      </w:r>
      <w:r>
        <w:rPr>
          <w:rFonts w:ascii="Times New Roman" w:hAnsi="Times New Roman" w:cs="Times New Roman" w:eastAsiaTheme="minorEastAsia"/>
          <w:iCs/>
          <w:sz w:val="20"/>
        </w:rPr>
        <w:t>DCI</w:t>
      </w:r>
      <w:r>
        <w:rPr>
          <w:rFonts w:hint="eastAsia" w:ascii="Times New Roman" w:hAnsi="Times New Roman" w:cs="Times New Roman" w:eastAsiaTheme="minorEastAsia"/>
          <w:iCs/>
          <w:sz w:val="20"/>
        </w:rPr>
        <w:t>/</w:t>
      </w:r>
      <w:r>
        <w:rPr>
          <w:rFonts w:ascii="Times New Roman" w:hAnsi="Times New Roman" w:cs="Times New Roman" w:eastAsiaTheme="minorEastAsia"/>
          <w:iCs/>
          <w:sz w:val="20"/>
        </w:rPr>
        <w:t xml:space="preserve">RRC based </w:t>
      </w:r>
      <w:r>
        <w:rPr>
          <w:rFonts w:hint="eastAsia" w:ascii="Times New Roman" w:hAnsi="Times New Roman" w:cs="Times New Roman" w:eastAsiaTheme="minorEastAsia"/>
          <w:iCs/>
          <w:sz w:val="20"/>
        </w:rPr>
        <w:t>u</w:t>
      </w:r>
      <w:r>
        <w:rPr>
          <w:rFonts w:ascii="Times New Roman" w:hAnsi="Times New Roman" w:cs="Times New Roman" w:eastAsiaTheme="minorEastAsia"/>
          <w:iCs/>
          <w:sz w:val="20"/>
        </w:rPr>
        <w:t>plink spatial relation switch delay</w:t>
      </w:r>
      <w:r>
        <w:rPr>
          <w:rFonts w:hint="eastAsia" w:ascii="Times New Roman" w:hAnsi="Times New Roman" w:cs="Times New Roman" w:eastAsiaTheme="minorEastAsia"/>
          <w:iCs/>
          <w:sz w:val="20"/>
        </w:rPr>
        <w:t xml:space="preserve"> </w:t>
      </w:r>
    </w:p>
    <w:p w14:paraId="56059118">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Scheduling availability</w:t>
      </w:r>
      <w:r>
        <w:rPr>
          <w:rFonts w:hint="eastAsia" w:ascii="Times New Roman" w:hAnsi="Times New Roman" w:cs="Times New Roman" w:eastAsiaTheme="minorEastAsia"/>
          <w:iCs/>
          <w:sz w:val="20"/>
        </w:rPr>
        <w:t xml:space="preserve"> </w:t>
      </w:r>
      <w:r>
        <w:rPr>
          <w:rFonts w:ascii="Times New Roman" w:hAnsi="Times New Roman" w:cs="Times New Roman" w:eastAsiaTheme="minorEastAsia"/>
          <w:iCs/>
          <w:sz w:val="20"/>
        </w:rPr>
        <w:t xml:space="preserve">of UE performing </w:t>
      </w:r>
      <w:r>
        <w:rPr>
          <w:rFonts w:hint="eastAsia" w:ascii="Times New Roman" w:hAnsi="Times New Roman" w:cs="Times New Roman" w:eastAsiaTheme="minorEastAsia"/>
          <w:iCs/>
          <w:sz w:val="20"/>
        </w:rPr>
        <w:t xml:space="preserve">intra/inter </w:t>
      </w:r>
      <w:r>
        <w:rPr>
          <w:rFonts w:ascii="Times New Roman" w:hAnsi="Times New Roman" w:cs="Times New Roman" w:eastAsiaTheme="minorEastAsia"/>
          <w:iCs/>
          <w:sz w:val="20"/>
        </w:rPr>
        <w:t xml:space="preserve">measurements </w:t>
      </w:r>
    </w:p>
    <w:p w14:paraId="45156BF4">
      <w:pPr>
        <w:pStyle w:val="29"/>
        <w:numPr>
          <w:ilvl w:val="0"/>
          <w:numId w:val="15"/>
        </w:numPr>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Scheduling availability of UE during L1-RSRP measurement</w:t>
      </w:r>
    </w:p>
    <w:p w14:paraId="246141E1">
      <w:pPr>
        <w:pStyle w:val="29"/>
        <w:numPr>
          <w:ilvl w:val="2"/>
          <w:numId w:val="6"/>
        </w:numPr>
        <w:snapToGrid w:val="0"/>
        <w:spacing w:before="120"/>
        <w:ind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Proposal 1</w:t>
      </w:r>
      <w:r>
        <w:rPr>
          <w:rFonts w:hint="eastAsia" w:ascii="Times New Roman" w:hAnsi="Times New Roman" w:cs="Times New Roman" w:eastAsiaTheme="minorEastAsia"/>
          <w:iCs/>
          <w:sz w:val="20"/>
        </w:rPr>
        <w:t>b</w:t>
      </w:r>
      <w:r>
        <w:rPr>
          <w:rFonts w:ascii="Times New Roman" w:hAnsi="Times New Roman" w:cs="Times New Roman" w:eastAsiaTheme="minorEastAsia"/>
          <w:iCs/>
          <w:sz w:val="20"/>
        </w:rPr>
        <w:t xml:space="preserve"> (</w:t>
      </w:r>
      <w:r>
        <w:rPr>
          <w:rFonts w:hint="eastAsia" w:ascii="Times New Roman" w:hAnsi="Times New Roman" w:cs="Times New Roman" w:eastAsiaTheme="minorEastAsia"/>
          <w:iCs/>
          <w:sz w:val="20"/>
        </w:rPr>
        <w:t>QC</w:t>
      </w:r>
      <w:r>
        <w:rPr>
          <w:rFonts w:ascii="Times New Roman" w:hAnsi="Times New Roman" w:cs="Times New Roman" w:eastAsiaTheme="minorEastAsia"/>
          <w:iCs/>
          <w:sz w:val="20"/>
        </w:rPr>
        <w:t>): RAN4 to wait for further RAN1 process on the enhancements for HD RedCap and eRedCap UEs which may potentially impact the following aspects:</w:t>
      </w:r>
    </w:p>
    <w:p w14:paraId="27F6D5EE">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Additional latencies, Scheduling/Measurement restrictions, etc. due to DL/UL collisions.</w:t>
      </w:r>
    </w:p>
    <w:p w14:paraId="3A9E5CDE">
      <w:pPr>
        <w:pStyle w:val="29"/>
        <w:numPr>
          <w:ilvl w:val="2"/>
          <w:numId w:val="6"/>
        </w:numPr>
        <w:snapToGrid w:val="0"/>
        <w:spacing w:before="120"/>
        <w:ind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Proposal 1</w:t>
      </w:r>
      <w:r>
        <w:rPr>
          <w:rFonts w:hint="eastAsia" w:ascii="Times New Roman" w:hAnsi="Times New Roman" w:cs="Times New Roman" w:eastAsiaTheme="minorEastAsia"/>
          <w:iCs/>
          <w:sz w:val="20"/>
        </w:rPr>
        <w:t>c</w:t>
      </w:r>
      <w:r>
        <w:rPr>
          <w:rFonts w:ascii="Times New Roman" w:hAnsi="Times New Roman" w:cs="Times New Roman" w:eastAsiaTheme="minorEastAsia"/>
          <w:iCs/>
          <w:sz w:val="20"/>
        </w:rPr>
        <w:t xml:space="preserve"> (</w:t>
      </w:r>
      <w:r>
        <w:rPr>
          <w:rFonts w:hint="eastAsia" w:ascii="Times New Roman" w:hAnsi="Times New Roman" w:cs="Times New Roman" w:eastAsiaTheme="minorEastAsia"/>
          <w:iCs/>
          <w:sz w:val="20"/>
        </w:rPr>
        <w:t>CMCC</w:t>
      </w:r>
      <w:r>
        <w:rPr>
          <w:rFonts w:ascii="Times New Roman" w:hAnsi="Times New Roman" w:cs="Times New Roman" w:eastAsiaTheme="minorEastAsia"/>
          <w:iCs/>
          <w:sz w:val="20"/>
        </w:rPr>
        <w:t>):</w:t>
      </w:r>
    </w:p>
    <w:p w14:paraId="0E5FFB90">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Same principle for HD-FDD (e)RedCap UE in TN network will be followed as baseline.</w:t>
      </w:r>
    </w:p>
    <w:p w14:paraId="432941A7">
      <w:pPr>
        <w:pStyle w:val="29"/>
        <w:keepNext w:val="0"/>
        <w:keepLines w:val="0"/>
        <w:pageBreakBefore w:val="0"/>
        <w:widowControl/>
        <w:numPr>
          <w:ilvl w:val="3"/>
          <w:numId w:val="6"/>
        </w:numPr>
        <w:kinsoku/>
        <w:wordWrap/>
        <w:overflowPunct/>
        <w:topLinePunct w:val="0"/>
        <w:autoSpaceDE/>
        <w:autoSpaceDN/>
        <w:bidi w:val="0"/>
        <w:adjustRightInd/>
        <w:snapToGrid/>
        <w:ind w:left="2920" w:hanging="181"/>
        <w:contextualSpacing w:val="0"/>
        <w:textAlignment w:val="auto"/>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Wait for further RAN1 progress which may impact Scheduling availability requirement.</w:t>
      </w:r>
    </w:p>
    <w:p w14:paraId="1FE581CD">
      <w:pPr>
        <w:pStyle w:val="29"/>
        <w:spacing w:after="120"/>
        <w:ind w:left="0" w:leftChars="0" w:firstLine="0" w:firstLineChars="0"/>
        <w:contextualSpacing w:val="0"/>
        <w:rPr>
          <w:rFonts w:ascii="Times New Roman" w:hAnsi="Times New Roman" w:cs="Times New Roman" w:eastAsiaTheme="minorEastAsia"/>
          <w:iCs/>
          <w:sz w:val="20"/>
          <w:highlight w:val="yellow"/>
        </w:rPr>
      </w:pPr>
    </w:p>
    <w:p w14:paraId="5ABC0DC7">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3</w:t>
      </w:r>
      <w:r>
        <w:rPr>
          <w:rFonts w:ascii="Times New Roman" w:hAnsi="Times New Roman" w:cs="Times New Roman"/>
          <w:sz w:val="24"/>
          <w:szCs w:val="16"/>
        </w:rPr>
        <w:t>-</w:t>
      </w:r>
      <w:r>
        <w:rPr>
          <w:rFonts w:hint="eastAsia" w:ascii="Times New Roman" w:hAnsi="Times New Roman" w:cs="Times New Roman"/>
          <w:sz w:val="24"/>
          <w:szCs w:val="16"/>
        </w:rPr>
        <w:t>2</w:t>
      </w:r>
      <w:r>
        <w:rPr>
          <w:rFonts w:ascii="Times New Roman" w:hAnsi="Times New Roman" w:cs="Times New Roman"/>
          <w:sz w:val="24"/>
          <w:szCs w:val="16"/>
        </w:rPr>
        <w:t xml:space="preserve"> </w:t>
      </w:r>
      <w:r>
        <w:rPr>
          <w:rFonts w:hint="eastAsia" w:ascii="Times New Roman" w:hAnsi="Times New Roman" w:cs="Times New Roman"/>
          <w:sz w:val="24"/>
          <w:szCs w:val="16"/>
        </w:rPr>
        <w:t>The specific impact of HD-FDD on</w:t>
      </w:r>
      <w:r>
        <w:rPr>
          <w:rFonts w:ascii="Times New Roman" w:hAnsi="Times New Roman" w:cs="Times New Roman"/>
          <w:sz w:val="24"/>
          <w:szCs w:val="16"/>
        </w:rPr>
        <w:t xml:space="preserve"> NR Handover</w:t>
      </w:r>
    </w:p>
    <w:p w14:paraId="55834EBB">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3</w:t>
      </w:r>
      <w:r>
        <w:rPr>
          <w:rFonts w:ascii="Times New Roman" w:hAnsi="Times New Roman" w:cs="Times New Roman"/>
          <w:sz w:val="20"/>
          <w:u w:val="single"/>
          <w:lang w:eastAsia="ko-KR"/>
        </w:rPr>
        <w:t>-</w:t>
      </w:r>
      <w:r>
        <w:rPr>
          <w:rFonts w:hint="eastAsia" w:ascii="Times New Roman" w:hAnsi="Times New Roman" w:cs="Times New Roman"/>
          <w:sz w:val="20"/>
          <w:u w:val="single"/>
        </w:rPr>
        <w:t>2-1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 xml:space="preserve">The impact on </w:t>
      </w:r>
      <w:r>
        <w:rPr>
          <w:rFonts w:ascii="Times New Roman" w:hAnsi="Times New Roman" w:cs="Times New Roman"/>
          <w:sz w:val="20"/>
          <w:u w:val="single"/>
        </w:rPr>
        <w:t>NR Handover</w:t>
      </w:r>
      <w:r>
        <w:rPr>
          <w:rFonts w:hint="eastAsia" w:ascii="Times New Roman" w:hAnsi="Times New Roman" w:cs="Times New Roman"/>
          <w:sz w:val="20"/>
          <w:u w:val="single"/>
        </w:rPr>
        <w:t xml:space="preserve"> due to </w:t>
      </w:r>
      <w:r>
        <w:rPr>
          <w:rFonts w:ascii="Times New Roman" w:hAnsi="Times New Roman" w:cs="Times New Roman"/>
          <w:sz w:val="20"/>
          <w:u w:val="single"/>
          <w:lang w:eastAsia="ko-KR"/>
        </w:rPr>
        <w:t>HD-FDD</w:t>
      </w:r>
    </w:p>
    <w:p w14:paraId="7F724988">
      <w:r>
        <w:rPr>
          <w:b/>
        </w:rPr>
        <w:t>&lt;Way Forward&gt;</w:t>
      </w:r>
      <w:r>
        <w:rPr>
          <w:rFonts w:hint="eastAsia"/>
          <w:b/>
          <w:lang w:eastAsia="zh-CN"/>
        </w:rPr>
        <w:t>:</w:t>
      </w:r>
    </w:p>
    <w:p w14:paraId="4A8A88E7">
      <w:pPr>
        <w:pStyle w:val="29"/>
        <w:numPr>
          <w:ilvl w:val="1"/>
          <w:numId w:val="6"/>
        </w:numPr>
        <w:ind w:left="1655" w:hanging="357"/>
        <w:contextualSpacing w:val="0"/>
        <w:rPr>
          <w:rFonts w:ascii="Times New Roman" w:hAnsi="Times New Roman" w:cs="Times New Roman"/>
          <w:bCs/>
          <w:iCs/>
          <w:sz w:val="20"/>
          <w:szCs w:val="20"/>
          <w:highlight w:val="none"/>
        </w:rPr>
      </w:pPr>
      <w:r>
        <w:rPr>
          <w:rFonts w:ascii="Times New Roman" w:hAnsi="Times New Roman" w:cs="Times New Roman"/>
          <w:sz w:val="20"/>
        </w:rPr>
        <w:t>Propo</w:t>
      </w:r>
      <w:r>
        <w:rPr>
          <w:rFonts w:ascii="Times New Roman" w:hAnsi="Times New Roman" w:cs="Times New Roman"/>
          <w:sz w:val="20"/>
          <w:highlight w:val="none"/>
        </w:rPr>
        <w:t>sal 1 (</w:t>
      </w:r>
      <w:r>
        <w:rPr>
          <w:rFonts w:hint="eastAsia" w:ascii="Times New Roman" w:hAnsi="Times New Roman" w:cs="Times New Roman"/>
          <w:sz w:val="20"/>
          <w:highlight w:val="none"/>
        </w:rPr>
        <w:t>CMCC</w:t>
      </w:r>
      <w:r>
        <w:rPr>
          <w:rFonts w:ascii="Times New Roman" w:hAnsi="Times New Roman" w:cs="Times New Roman"/>
          <w:sz w:val="20"/>
          <w:highlight w:val="none"/>
        </w:rPr>
        <w:t xml:space="preserve">): </w:t>
      </w:r>
    </w:p>
    <w:p w14:paraId="4E2B326B">
      <w:pPr>
        <w:pStyle w:val="29"/>
        <w:numPr>
          <w:ilvl w:val="2"/>
          <w:numId w:val="6"/>
        </w:numPr>
        <w:snapToGrid w:val="0"/>
        <w:ind w:hanging="357"/>
        <w:contextualSpacing w:val="0"/>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For RACH-based HO, RACH-less HO, Time/location-based CHO without L3 measurement and Satellite switching with re-synchronization, following applicability rules to adapt HD-FDD case should be added:</w:t>
      </w:r>
    </w:p>
    <w:p w14:paraId="5BB58E7B">
      <w:pPr>
        <w:pStyle w:val="29"/>
        <w:numPr>
          <w:ilvl w:val="3"/>
          <w:numId w:val="6"/>
        </w:numPr>
        <w:contextualSpacing w:val="0"/>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 xml:space="preserve">For RedCap NTN UE with HD-FDD, the requirements are met provided that </w:t>
      </w:r>
    </w:p>
    <w:p w14:paraId="7B9BC90C">
      <w:pPr>
        <w:pStyle w:val="29"/>
        <w:numPr>
          <w:ilvl w:val="0"/>
          <w:numId w:val="15"/>
        </w:numPr>
        <w:contextualSpacing w:val="0"/>
        <w:rPr>
          <w:rFonts w:ascii="Times New Roman" w:hAnsi="Times New Roman" w:cs="Times New Roman"/>
          <w:bCs/>
          <w:iCs/>
          <w:sz w:val="20"/>
          <w:szCs w:val="20"/>
          <w:highlight w:val="none"/>
          <w:lang w:eastAsia="en-US"/>
        </w:rPr>
      </w:pPr>
      <w:r>
        <w:rPr>
          <w:rFonts w:ascii="Times New Roman" w:hAnsi="Times New Roman" w:cs="Times New Roman"/>
          <w:bCs/>
          <w:iCs/>
          <w:sz w:val="20"/>
          <w:szCs w:val="20"/>
          <w:highlight w:val="none"/>
          <w:lang w:eastAsia="en-US"/>
        </w:rPr>
        <w:t>SSB is available at the UE once every SMTC period during T</w:t>
      </w:r>
      <w:r>
        <w:rPr>
          <w:rFonts w:ascii="Times New Roman" w:hAnsi="Times New Roman" w:cs="Times New Roman"/>
          <w:bCs/>
          <w:iCs/>
          <w:sz w:val="20"/>
          <w:szCs w:val="20"/>
          <w:highlight w:val="none"/>
          <w:vertAlign w:val="subscript"/>
          <w:lang w:eastAsia="en-US"/>
        </w:rPr>
        <w:t>search</w:t>
      </w:r>
    </w:p>
    <w:p w14:paraId="468128B2">
      <w:pPr>
        <w:pStyle w:val="29"/>
        <w:numPr>
          <w:ilvl w:val="0"/>
          <w:numId w:val="15"/>
        </w:numPr>
        <w:contextualSpacing w:val="0"/>
        <w:rPr>
          <w:rFonts w:ascii="Times New Roman" w:hAnsi="Times New Roman" w:cs="Times New Roman"/>
          <w:bCs/>
          <w:iCs/>
          <w:sz w:val="20"/>
          <w:szCs w:val="20"/>
          <w:highlight w:val="none"/>
          <w:lang w:eastAsia="en-US"/>
        </w:rPr>
      </w:pPr>
      <w:r>
        <w:rPr>
          <w:rFonts w:ascii="Times New Roman" w:hAnsi="Times New Roman" w:cs="Times New Roman"/>
          <w:bCs/>
          <w:iCs/>
          <w:sz w:val="20"/>
          <w:szCs w:val="20"/>
          <w:highlight w:val="none"/>
          <w:lang w:eastAsia="en-US"/>
        </w:rPr>
        <w:t>One SSB is available during T</w:t>
      </w:r>
      <w:r>
        <w:rPr>
          <w:rFonts w:ascii="Times New Roman" w:hAnsi="Times New Roman" w:cs="Times New Roman"/>
          <w:bCs/>
          <w:iCs/>
          <w:sz w:val="20"/>
          <w:szCs w:val="20"/>
          <w:highlight w:val="none"/>
          <w:vertAlign w:val="subscript"/>
          <w:lang w:eastAsia="en-US"/>
        </w:rPr>
        <w:t>∆</w:t>
      </w:r>
    </w:p>
    <w:p w14:paraId="0C91FE41">
      <w:pPr>
        <w:pStyle w:val="29"/>
        <w:numPr>
          <w:ilvl w:val="0"/>
          <w:numId w:val="15"/>
        </w:numPr>
        <w:contextualSpacing w:val="0"/>
        <w:rPr>
          <w:rFonts w:ascii="Times New Roman" w:hAnsi="Times New Roman" w:cs="Times New Roman"/>
          <w:bCs/>
          <w:iCs/>
          <w:sz w:val="20"/>
          <w:szCs w:val="20"/>
          <w:highlight w:val="none"/>
          <w:lang w:eastAsia="en-US"/>
        </w:rPr>
      </w:pPr>
      <w:r>
        <w:rPr>
          <w:rFonts w:ascii="Times New Roman" w:hAnsi="Times New Roman" w:cs="Times New Roman"/>
          <w:bCs/>
          <w:iCs/>
          <w:sz w:val="20"/>
          <w:szCs w:val="20"/>
          <w:highlight w:val="none"/>
          <w:lang w:eastAsia="en-US"/>
        </w:rPr>
        <w:t>One SSB is available during T</w:t>
      </w:r>
      <w:r>
        <w:rPr>
          <w:rFonts w:ascii="Times New Roman" w:hAnsi="Times New Roman" w:cs="Times New Roman"/>
          <w:bCs/>
          <w:iCs/>
          <w:sz w:val="20"/>
          <w:szCs w:val="20"/>
          <w:highlight w:val="none"/>
          <w:vertAlign w:val="subscript"/>
          <w:lang w:eastAsia="en-US"/>
        </w:rPr>
        <w:t>IU</w:t>
      </w:r>
      <w:r>
        <w:rPr>
          <w:rFonts w:ascii="Times New Roman" w:hAnsi="Times New Roman" w:cs="Times New Roman"/>
          <w:bCs/>
          <w:iCs/>
          <w:sz w:val="20"/>
          <w:szCs w:val="20"/>
          <w:highlight w:val="none"/>
          <w:lang w:eastAsia="en-US"/>
        </w:rPr>
        <w:t>.</w:t>
      </w:r>
    </w:p>
    <w:p w14:paraId="1A10E9B0">
      <w:pPr>
        <w:pStyle w:val="29"/>
        <w:numPr>
          <w:ilvl w:val="2"/>
          <w:numId w:val="6"/>
        </w:numPr>
        <w:snapToGrid w:val="0"/>
        <w:spacing w:before="120"/>
        <w:ind w:hanging="357"/>
        <w:contextualSpacing w:val="0"/>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For Time/location-based CHO with L3 measurement, following applicability rules to adapt HD-FDD case should be added:</w:t>
      </w:r>
    </w:p>
    <w:p w14:paraId="61142DE9">
      <w:pPr>
        <w:pStyle w:val="29"/>
        <w:numPr>
          <w:ilvl w:val="3"/>
          <w:numId w:val="6"/>
        </w:numPr>
        <w:contextualSpacing w:val="0"/>
        <w:rPr>
          <w:rFonts w:ascii="Times New Roman" w:hAnsi="Times New Roman" w:cs="Times New Roman"/>
          <w:bCs/>
          <w:iCs/>
          <w:sz w:val="20"/>
          <w:szCs w:val="20"/>
          <w:highlight w:val="none"/>
          <w:lang w:eastAsia="en-US"/>
        </w:rPr>
      </w:pPr>
      <w:r>
        <w:rPr>
          <w:rFonts w:ascii="Times New Roman" w:hAnsi="Times New Roman" w:cs="Times New Roman"/>
          <w:bCs/>
          <w:iCs/>
          <w:sz w:val="20"/>
          <w:szCs w:val="20"/>
          <w:highlight w:val="none"/>
          <w:lang w:eastAsia="en-US"/>
        </w:rPr>
        <w:t xml:space="preserve">For RedCap NTN UE with HD-FDD, the requirements are met provided that </w:t>
      </w:r>
    </w:p>
    <w:p w14:paraId="09C072F8">
      <w:pPr>
        <w:pStyle w:val="29"/>
        <w:numPr>
          <w:ilvl w:val="0"/>
          <w:numId w:val="15"/>
        </w:numPr>
        <w:contextualSpacing w:val="0"/>
        <w:rPr>
          <w:rFonts w:ascii="Times New Roman" w:hAnsi="Times New Roman" w:cs="Times New Roman"/>
          <w:bCs/>
          <w:iCs/>
          <w:sz w:val="20"/>
          <w:szCs w:val="20"/>
          <w:highlight w:val="none"/>
          <w:lang w:eastAsia="en-US"/>
        </w:rPr>
      </w:pPr>
      <w:r>
        <w:rPr>
          <w:rFonts w:ascii="Times New Roman" w:hAnsi="Times New Roman" w:cs="Times New Roman"/>
          <w:bCs/>
          <w:iCs/>
          <w:sz w:val="20"/>
          <w:szCs w:val="20"/>
          <w:highlight w:val="none"/>
          <w:lang w:eastAsia="en-US"/>
        </w:rPr>
        <w:t>One SSB is available during T</w:t>
      </w:r>
      <w:r>
        <w:rPr>
          <w:rFonts w:ascii="Times New Roman" w:hAnsi="Times New Roman" w:cs="Times New Roman"/>
          <w:bCs/>
          <w:iCs/>
          <w:sz w:val="20"/>
          <w:szCs w:val="20"/>
          <w:highlight w:val="none"/>
          <w:vertAlign w:val="subscript"/>
          <w:lang w:eastAsia="en-US"/>
        </w:rPr>
        <w:t>∆</w:t>
      </w:r>
    </w:p>
    <w:p w14:paraId="2AEEF645">
      <w:pPr>
        <w:pStyle w:val="29"/>
        <w:numPr>
          <w:ilvl w:val="0"/>
          <w:numId w:val="15"/>
        </w:numPr>
        <w:contextualSpacing w:val="0"/>
        <w:rPr>
          <w:rFonts w:ascii="Times New Roman" w:hAnsi="Times New Roman" w:cs="Times New Roman" w:eastAsiaTheme="minorEastAsia"/>
          <w:iCs/>
          <w:sz w:val="20"/>
          <w:highlight w:val="none"/>
          <w:lang w:val="en-GB"/>
        </w:rPr>
      </w:pPr>
      <w:r>
        <w:rPr>
          <w:rFonts w:ascii="Times New Roman" w:hAnsi="Times New Roman" w:cs="Times New Roman"/>
          <w:bCs/>
          <w:iCs/>
          <w:sz w:val="20"/>
          <w:szCs w:val="20"/>
          <w:highlight w:val="none"/>
          <w:lang w:eastAsia="en-US"/>
        </w:rPr>
        <w:t>One SSB is available during T</w:t>
      </w:r>
      <w:r>
        <w:rPr>
          <w:rFonts w:ascii="Times New Roman" w:hAnsi="Times New Roman" w:cs="Times New Roman"/>
          <w:bCs/>
          <w:iCs/>
          <w:sz w:val="20"/>
          <w:szCs w:val="20"/>
          <w:highlight w:val="none"/>
          <w:vertAlign w:val="subscript"/>
          <w:lang w:eastAsia="en-US"/>
        </w:rPr>
        <w:t>IU</w:t>
      </w:r>
    </w:p>
    <w:p w14:paraId="7D64A3C4">
      <w:pPr>
        <w:pStyle w:val="29"/>
        <w:numPr>
          <w:ilvl w:val="1"/>
          <w:numId w:val="6"/>
        </w:numPr>
        <w:spacing w:before="120"/>
        <w:ind w:left="1655" w:hanging="357"/>
        <w:contextualSpacing w:val="0"/>
        <w:rPr>
          <w:rFonts w:ascii="Times New Roman" w:hAnsi="Times New Roman" w:cs="Times New Roman"/>
          <w:bCs/>
          <w:iCs/>
          <w:sz w:val="20"/>
          <w:szCs w:val="20"/>
          <w:highlight w:val="none"/>
        </w:rPr>
      </w:pPr>
      <w:r>
        <w:rPr>
          <w:rFonts w:ascii="Times New Roman" w:hAnsi="Times New Roman" w:cs="Times New Roman"/>
          <w:sz w:val="20"/>
          <w:highlight w:val="none"/>
        </w:rPr>
        <w:t xml:space="preserve">Proposal </w:t>
      </w:r>
      <w:r>
        <w:rPr>
          <w:rFonts w:hint="eastAsia" w:ascii="Times New Roman" w:hAnsi="Times New Roman" w:cs="Times New Roman"/>
          <w:sz w:val="20"/>
          <w:highlight w:val="none"/>
        </w:rPr>
        <w:t>2</w:t>
      </w:r>
      <w:r>
        <w:rPr>
          <w:rFonts w:ascii="Times New Roman" w:hAnsi="Times New Roman" w:cs="Times New Roman"/>
          <w:sz w:val="20"/>
          <w:highlight w:val="none"/>
        </w:rPr>
        <w:t xml:space="preserve"> (</w:t>
      </w:r>
      <w:r>
        <w:rPr>
          <w:rFonts w:hint="eastAsia" w:ascii="Times New Roman" w:hAnsi="Times New Roman" w:cs="Times New Roman"/>
          <w:sz w:val="20"/>
          <w:highlight w:val="none"/>
        </w:rPr>
        <w:t>Ericsson</w:t>
      </w:r>
      <w:r>
        <w:rPr>
          <w:rFonts w:ascii="Times New Roman" w:hAnsi="Times New Roman" w:cs="Times New Roman"/>
          <w:sz w:val="20"/>
          <w:highlight w:val="none"/>
        </w:rPr>
        <w:t xml:space="preserve">): </w:t>
      </w:r>
    </w:p>
    <w:p w14:paraId="42F2AFD4">
      <w:pPr>
        <w:pStyle w:val="29"/>
        <w:numPr>
          <w:ilvl w:val="2"/>
          <w:numId w:val="6"/>
        </w:numPr>
        <w:snapToGrid w:val="0"/>
        <w:ind w:hanging="357"/>
        <w:contextualSpacing w:val="0"/>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 xml:space="preserve">RAN4 to reuse NR SAN FR1 – NR SAN FR1 Handover </w:t>
      </w:r>
      <w:r>
        <w:rPr>
          <w:rFonts w:hint="eastAsia" w:ascii="Times New Roman" w:hAnsi="Times New Roman" w:cs="Times New Roman" w:eastAsiaTheme="minorEastAsia"/>
          <w:iCs/>
          <w:sz w:val="20"/>
          <w:highlight w:val="none"/>
        </w:rPr>
        <w:t xml:space="preserve">and </w:t>
      </w:r>
      <w:r>
        <w:rPr>
          <w:rFonts w:ascii="Times New Roman" w:hAnsi="Times New Roman" w:cs="Times New Roman" w:eastAsiaTheme="minorEastAsia"/>
          <w:iCs/>
          <w:sz w:val="20"/>
          <w:highlight w:val="none"/>
        </w:rPr>
        <w:t>NR Satellite switching with re-synchronization requirements for Red-cap NTN and additionally add the following applicability rule for HD-FDD cas</w:t>
      </w:r>
      <w:r>
        <w:rPr>
          <w:rFonts w:hint="eastAsia" w:ascii="Times New Roman" w:hAnsi="Times New Roman" w:cs="Times New Roman" w:eastAsiaTheme="minorEastAsia"/>
          <w:iCs/>
          <w:sz w:val="20"/>
          <w:highlight w:val="none"/>
        </w:rPr>
        <w:t>e</w:t>
      </w:r>
      <w:r>
        <w:rPr>
          <w:rFonts w:ascii="Times New Roman" w:hAnsi="Times New Roman" w:cs="Times New Roman" w:eastAsiaTheme="minorEastAsia"/>
          <w:iCs/>
          <w:sz w:val="20"/>
          <w:highlight w:val="none"/>
        </w:rPr>
        <w:t>,</w:t>
      </w:r>
    </w:p>
    <w:p w14:paraId="4DEB9500">
      <w:pPr>
        <w:pStyle w:val="29"/>
        <w:keepNext w:val="0"/>
        <w:keepLines w:val="0"/>
        <w:pageBreakBefore w:val="0"/>
        <w:widowControl/>
        <w:numPr>
          <w:ilvl w:val="3"/>
          <w:numId w:val="6"/>
        </w:numPr>
        <w:kinsoku/>
        <w:wordWrap/>
        <w:overflowPunct/>
        <w:topLinePunct w:val="0"/>
        <w:autoSpaceDE/>
        <w:autoSpaceDN/>
        <w:bidi w:val="0"/>
        <w:adjustRightInd/>
        <w:snapToGrid/>
        <w:spacing w:after="137" w:afterLines="50"/>
        <w:ind w:left="2920" w:hanging="181"/>
        <w:contextualSpacing w:val="0"/>
        <w:textAlignment w:val="auto"/>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 xml:space="preserve">For RedCap NTN UE with HD-FDD, the handover requirements </w:t>
      </w:r>
      <w:r>
        <w:rPr>
          <w:rFonts w:hint="eastAsia" w:ascii="Times New Roman" w:hAnsi="Times New Roman" w:cs="Times New Roman" w:eastAsiaTheme="minorEastAsia"/>
          <w:iCs/>
          <w:sz w:val="20"/>
          <w:highlight w:val="none"/>
        </w:rPr>
        <w:t xml:space="preserve">and </w:t>
      </w:r>
      <w:r>
        <w:rPr>
          <w:rFonts w:ascii="Times New Roman" w:hAnsi="Times New Roman" w:cs="Times New Roman" w:eastAsiaTheme="minorEastAsia"/>
          <w:iCs/>
          <w:sz w:val="20"/>
          <w:highlight w:val="none"/>
        </w:rPr>
        <w:t xml:space="preserve">Satellite switching with re-synchronization requirements are met provided that </w:t>
      </w:r>
    </w:p>
    <w:p w14:paraId="04EA7C50">
      <w:pPr>
        <w:pStyle w:val="29"/>
        <w:numPr>
          <w:ilvl w:val="0"/>
          <w:numId w:val="15"/>
        </w:numPr>
        <w:contextualSpacing w:val="0"/>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SSB is available at the UE once every SMTC period during T</w:t>
      </w:r>
      <w:r>
        <w:rPr>
          <w:rFonts w:ascii="Times New Roman" w:hAnsi="Times New Roman" w:cs="Times New Roman" w:eastAsiaTheme="minorEastAsia"/>
          <w:iCs/>
          <w:sz w:val="20"/>
          <w:szCs w:val="20"/>
          <w:highlight w:val="none"/>
          <w:vertAlign w:val="subscript"/>
        </w:rPr>
        <w:t>search</w:t>
      </w:r>
    </w:p>
    <w:p w14:paraId="0AC92544">
      <w:pPr>
        <w:pStyle w:val="29"/>
        <w:numPr>
          <w:ilvl w:val="0"/>
          <w:numId w:val="15"/>
        </w:numPr>
        <w:contextualSpacing w:val="0"/>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One SSB is available during T</w:t>
      </w:r>
      <w:r>
        <w:rPr>
          <w:rFonts w:ascii="Times New Roman" w:hAnsi="Times New Roman" w:cs="Times New Roman" w:eastAsiaTheme="minorEastAsia"/>
          <w:iCs/>
          <w:sz w:val="20"/>
          <w:szCs w:val="20"/>
          <w:highlight w:val="none"/>
          <w:vertAlign w:val="subscript"/>
        </w:rPr>
        <w:t>∆</w:t>
      </w:r>
    </w:p>
    <w:p w14:paraId="6683648A">
      <w:pPr>
        <w:pStyle w:val="29"/>
        <w:numPr>
          <w:ilvl w:val="0"/>
          <w:numId w:val="15"/>
        </w:numPr>
        <w:contextualSpacing w:val="0"/>
        <w:rPr>
          <w:rFonts w:ascii="Times New Roman" w:hAnsi="Times New Roman" w:cs="Times New Roman"/>
          <w:bCs/>
          <w:iCs/>
          <w:sz w:val="20"/>
          <w:szCs w:val="20"/>
          <w:highlight w:val="none"/>
        </w:rPr>
      </w:pPr>
      <w:r>
        <w:rPr>
          <w:rFonts w:ascii="Times New Roman" w:hAnsi="Times New Roman" w:cs="Times New Roman" w:eastAsiaTheme="minorEastAsia"/>
          <w:iCs/>
          <w:sz w:val="20"/>
          <w:szCs w:val="20"/>
          <w:highlight w:val="none"/>
        </w:rPr>
        <w:t>One SSB is available during T</w:t>
      </w:r>
      <w:r>
        <w:rPr>
          <w:rFonts w:ascii="Times New Roman" w:hAnsi="Times New Roman" w:cs="Times New Roman" w:eastAsiaTheme="minorEastAsia"/>
          <w:iCs/>
          <w:sz w:val="20"/>
          <w:szCs w:val="20"/>
          <w:highlight w:val="none"/>
          <w:vertAlign w:val="subscript"/>
        </w:rPr>
        <w:t>IU</w:t>
      </w:r>
      <w:r>
        <w:rPr>
          <w:rFonts w:ascii="Times New Roman" w:hAnsi="Times New Roman" w:cs="Times New Roman" w:eastAsiaTheme="minorEastAsia"/>
          <w:iCs/>
          <w:sz w:val="20"/>
          <w:szCs w:val="20"/>
          <w:highlight w:val="none"/>
        </w:rPr>
        <w:t>.</w:t>
      </w:r>
    </w:p>
    <w:p w14:paraId="6A986CFB">
      <w:pPr>
        <w:pStyle w:val="29"/>
        <w:numPr>
          <w:ilvl w:val="1"/>
          <w:numId w:val="6"/>
        </w:numPr>
        <w:spacing w:before="120"/>
        <w:ind w:left="1655" w:hanging="357"/>
        <w:contextualSpacing w:val="0"/>
        <w:rPr>
          <w:rFonts w:ascii="Times New Roman" w:hAnsi="Times New Roman" w:cs="Times New Roman"/>
          <w:sz w:val="20"/>
          <w:highlight w:val="none"/>
        </w:rPr>
      </w:pPr>
      <w:r>
        <w:rPr>
          <w:rFonts w:ascii="Times New Roman" w:hAnsi="Times New Roman" w:cs="Times New Roman"/>
          <w:sz w:val="20"/>
          <w:highlight w:val="none"/>
        </w:rPr>
        <w:t xml:space="preserve">Proposal </w:t>
      </w:r>
      <w:r>
        <w:rPr>
          <w:rFonts w:hint="eastAsia" w:ascii="Times New Roman" w:hAnsi="Times New Roman" w:cs="Times New Roman"/>
          <w:sz w:val="20"/>
          <w:highlight w:val="none"/>
        </w:rPr>
        <w:t>3</w:t>
      </w:r>
      <w:r>
        <w:rPr>
          <w:rFonts w:ascii="Times New Roman" w:hAnsi="Times New Roman" w:cs="Times New Roman"/>
          <w:sz w:val="20"/>
          <w:highlight w:val="none"/>
        </w:rPr>
        <w:t xml:space="preserve"> (</w:t>
      </w:r>
      <w:r>
        <w:rPr>
          <w:rFonts w:hint="eastAsia" w:ascii="Times New Roman" w:hAnsi="Times New Roman" w:cs="Times New Roman"/>
          <w:sz w:val="20"/>
          <w:highlight w:val="none"/>
        </w:rPr>
        <w:t>HW</w:t>
      </w:r>
      <w:r>
        <w:rPr>
          <w:rFonts w:ascii="Times New Roman" w:hAnsi="Times New Roman" w:cs="Times New Roman"/>
          <w:sz w:val="20"/>
          <w:highlight w:val="none"/>
        </w:rPr>
        <w:t xml:space="preserve">): </w:t>
      </w:r>
    </w:p>
    <w:p w14:paraId="41D3C090">
      <w:pPr>
        <w:pStyle w:val="29"/>
        <w:numPr>
          <w:ilvl w:val="2"/>
          <w:numId w:val="6"/>
        </w:numPr>
        <w:snapToGrid w:val="0"/>
        <w:ind w:hanging="357"/>
        <w:contextualSpacing w:val="0"/>
        <w:rPr>
          <w:rFonts w:ascii="Times New Roman" w:hAnsi="Times New Roman" w:cs="Times New Roman" w:eastAsiaTheme="minorEastAsia"/>
          <w:iCs/>
          <w:sz w:val="20"/>
          <w:highlight w:val="none"/>
        </w:rPr>
      </w:pPr>
      <w:r>
        <w:rPr>
          <w:rFonts w:ascii="Times New Roman" w:hAnsi="Times New Roman" w:cs="Times New Roman" w:eastAsiaTheme="minorEastAsia"/>
          <w:iCs/>
          <w:sz w:val="20"/>
          <w:highlight w:val="none"/>
        </w:rPr>
        <w:t>For HD-FDD (e)Red</w:t>
      </w:r>
      <w:r>
        <w:rPr>
          <w:rFonts w:hint="eastAsia" w:ascii="Times New Roman" w:hAnsi="Times New Roman" w:cs="Times New Roman" w:eastAsiaTheme="minorEastAsia"/>
          <w:iCs/>
          <w:sz w:val="20"/>
          <w:highlight w:val="none"/>
        </w:rPr>
        <w:t>C</w:t>
      </w:r>
      <w:r>
        <w:rPr>
          <w:rFonts w:ascii="Times New Roman" w:hAnsi="Times New Roman" w:cs="Times New Roman" w:eastAsiaTheme="minorEastAsia"/>
          <w:iCs/>
          <w:sz w:val="20"/>
          <w:highlight w:val="none"/>
        </w:rPr>
        <w:t xml:space="preserve">ap UE with FR1-NTN bands, the CHO and satellite switching with re-sync requirements are met provided that </w:t>
      </w:r>
    </w:p>
    <w:p w14:paraId="7420DCDF">
      <w:pPr>
        <w:pStyle w:val="29"/>
        <w:numPr>
          <w:ilvl w:val="0"/>
          <w:numId w:val="15"/>
        </w:numPr>
        <w:contextualSpacing w:val="0"/>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SSB is available at the UE once every SMTC period during T</w:t>
      </w:r>
      <w:r>
        <w:rPr>
          <w:rFonts w:ascii="Times New Roman" w:hAnsi="Times New Roman" w:cs="Times New Roman" w:eastAsiaTheme="minorEastAsia"/>
          <w:iCs/>
          <w:sz w:val="20"/>
          <w:szCs w:val="20"/>
          <w:highlight w:val="none"/>
          <w:vertAlign w:val="subscript"/>
        </w:rPr>
        <w:t>search</w:t>
      </w:r>
    </w:p>
    <w:p w14:paraId="7AA3765B">
      <w:pPr>
        <w:pStyle w:val="29"/>
        <w:numPr>
          <w:ilvl w:val="0"/>
          <w:numId w:val="15"/>
        </w:numPr>
        <w:contextualSpacing w:val="0"/>
        <w:rPr>
          <w:rFonts w:ascii="Times New Roman" w:hAnsi="Times New Roman" w:cs="Times New Roman" w:eastAsiaTheme="minorEastAsia"/>
          <w:iCs/>
          <w:sz w:val="20"/>
          <w:szCs w:val="20"/>
          <w:highlight w:val="none"/>
        </w:rPr>
      </w:pPr>
      <w:r>
        <w:rPr>
          <w:rFonts w:ascii="Times New Roman" w:hAnsi="Times New Roman" w:cs="Times New Roman" w:eastAsiaTheme="minorEastAsia"/>
          <w:iCs/>
          <w:sz w:val="20"/>
          <w:szCs w:val="20"/>
          <w:highlight w:val="none"/>
        </w:rPr>
        <w:t>One SSB is available during T</w:t>
      </w:r>
      <w:r>
        <w:rPr>
          <w:rFonts w:ascii="Times New Roman" w:hAnsi="Times New Roman" w:cs="Times New Roman" w:eastAsiaTheme="minorEastAsia"/>
          <w:iCs/>
          <w:sz w:val="20"/>
          <w:szCs w:val="20"/>
          <w:highlight w:val="none"/>
          <w:vertAlign w:val="subscript"/>
        </w:rPr>
        <w:t>∆</w:t>
      </w:r>
    </w:p>
    <w:p w14:paraId="57FB9AB1">
      <w:pPr>
        <w:pStyle w:val="29"/>
        <w:numPr>
          <w:ilvl w:val="0"/>
          <w:numId w:val="15"/>
        </w:numPr>
        <w:contextualSpacing w:val="0"/>
        <w:rPr>
          <w:rFonts w:ascii="Times New Roman" w:hAnsi="Times New Roman" w:cs="Times New Roman"/>
          <w:bCs/>
          <w:iCs/>
          <w:sz w:val="20"/>
          <w:szCs w:val="20"/>
          <w:highlight w:val="none"/>
        </w:rPr>
      </w:pPr>
      <w:r>
        <w:rPr>
          <w:rFonts w:ascii="Times New Roman" w:hAnsi="Times New Roman" w:cs="Times New Roman" w:eastAsiaTheme="minorEastAsia"/>
          <w:iCs/>
          <w:sz w:val="20"/>
          <w:szCs w:val="20"/>
          <w:highlight w:val="none"/>
        </w:rPr>
        <w:t>One SSB is available during T</w:t>
      </w:r>
      <w:r>
        <w:rPr>
          <w:rFonts w:ascii="Times New Roman" w:hAnsi="Times New Roman" w:cs="Times New Roman" w:eastAsiaTheme="minorEastAsia"/>
          <w:iCs/>
          <w:sz w:val="20"/>
          <w:szCs w:val="20"/>
          <w:highlight w:val="none"/>
          <w:vertAlign w:val="subscript"/>
        </w:rPr>
        <w:t>IU</w:t>
      </w:r>
      <w:r>
        <w:rPr>
          <w:rFonts w:ascii="Times New Roman" w:hAnsi="Times New Roman" w:cs="Times New Roman" w:eastAsiaTheme="minorEastAsia"/>
          <w:iCs/>
          <w:sz w:val="20"/>
          <w:szCs w:val="20"/>
          <w:highlight w:val="none"/>
        </w:rPr>
        <w:t>.</w:t>
      </w:r>
    </w:p>
    <w:p w14:paraId="4639911E">
      <w:pPr>
        <w:pStyle w:val="29"/>
        <w:numPr>
          <w:ilvl w:val="1"/>
          <w:numId w:val="6"/>
        </w:numPr>
        <w:spacing w:before="120"/>
        <w:ind w:left="1655" w:hanging="357"/>
        <w:contextualSpacing w:val="0"/>
        <w:rPr>
          <w:rFonts w:ascii="Times New Roman" w:hAnsi="Times New Roman" w:cs="Times New Roman"/>
          <w:sz w:val="20"/>
          <w:highlight w:val="none"/>
        </w:rPr>
      </w:pPr>
      <w:r>
        <w:rPr>
          <w:rFonts w:ascii="Times New Roman" w:hAnsi="Times New Roman" w:cs="Times New Roman"/>
          <w:sz w:val="20"/>
          <w:highlight w:val="none"/>
        </w:rPr>
        <w:t xml:space="preserve">Proposal </w:t>
      </w:r>
      <w:r>
        <w:rPr>
          <w:rFonts w:hint="eastAsia" w:ascii="Times New Roman" w:hAnsi="Times New Roman" w:cs="Times New Roman"/>
          <w:sz w:val="20"/>
          <w:highlight w:val="none"/>
        </w:rPr>
        <w:t>4</w:t>
      </w:r>
      <w:r>
        <w:rPr>
          <w:rFonts w:ascii="Times New Roman" w:hAnsi="Times New Roman" w:cs="Times New Roman"/>
          <w:sz w:val="20"/>
          <w:highlight w:val="none"/>
        </w:rPr>
        <w:t xml:space="preserve"> (</w:t>
      </w:r>
      <w:r>
        <w:rPr>
          <w:rFonts w:hint="eastAsia" w:ascii="Times New Roman" w:hAnsi="Times New Roman" w:cs="Times New Roman"/>
          <w:sz w:val="20"/>
          <w:highlight w:val="none"/>
        </w:rPr>
        <w:t>Nokia</w:t>
      </w:r>
      <w:r>
        <w:rPr>
          <w:rFonts w:ascii="Times New Roman" w:hAnsi="Times New Roman" w:cs="Times New Roman"/>
          <w:sz w:val="20"/>
          <w:highlight w:val="none"/>
        </w:rPr>
        <w:t xml:space="preserve">): </w:t>
      </w:r>
    </w:p>
    <w:p w14:paraId="33BB5190">
      <w:pPr>
        <w:pStyle w:val="29"/>
        <w:numPr>
          <w:ilvl w:val="2"/>
          <w:numId w:val="6"/>
        </w:numPr>
        <w:snapToGrid w:val="0"/>
        <w:ind w:hanging="357"/>
        <w:contextualSpacing w:val="0"/>
        <w:rPr>
          <w:rFonts w:ascii="Times New Roman" w:hAnsi="Times New Roman" w:cs="Times New Roman" w:eastAsiaTheme="minorEastAsia"/>
          <w:iCs/>
          <w:sz w:val="20"/>
          <w:highlight w:val="none"/>
        </w:rPr>
      </w:pPr>
      <w:bookmarkStart w:id="20" w:name="_Toc181990343"/>
      <w:r>
        <w:rPr>
          <w:rFonts w:ascii="Times New Roman" w:hAnsi="Times New Roman" w:cs="Times New Roman" w:eastAsiaTheme="minorEastAsia"/>
          <w:iCs/>
          <w:sz w:val="20"/>
          <w:highlight w:val="none"/>
        </w:rPr>
        <w:t>Only support hard satellite switching for RedCap UEs</w:t>
      </w:r>
      <w:bookmarkEnd w:id="20"/>
    </w:p>
    <w:p w14:paraId="3D214AA8">
      <w:pPr>
        <w:spacing w:after="120"/>
        <w:rPr>
          <w:szCs w:val="24"/>
          <w:lang w:eastAsia="zh-CN"/>
        </w:rPr>
      </w:pPr>
    </w:p>
    <w:p w14:paraId="6615B65A">
      <w:pPr>
        <w:pStyle w:val="2"/>
        <w:ind w:left="432" w:hanging="432"/>
        <w:rPr>
          <w:lang w:val="en-US" w:eastAsia="ja-JP"/>
        </w:rPr>
      </w:pPr>
      <w:r>
        <w:rPr>
          <w:rFonts w:hint="eastAsia" w:eastAsia="宋体"/>
          <w:lang w:val="en-US" w:eastAsia="zh-CN"/>
        </w:rPr>
        <w:t xml:space="preserve">4 </w:t>
      </w:r>
      <w:r>
        <w:rPr>
          <w:lang w:val="en-US" w:eastAsia="ja-JP"/>
        </w:rPr>
        <w:t>Topic #</w:t>
      </w:r>
      <w:r>
        <w:rPr>
          <w:rFonts w:hint="eastAsia" w:eastAsia="宋体"/>
          <w:lang w:val="en-US" w:eastAsia="zh-CN"/>
        </w:rPr>
        <w:t>4</w:t>
      </w:r>
      <w:r>
        <w:rPr>
          <w:lang w:val="en-US" w:eastAsia="ja-JP"/>
        </w:rPr>
        <w:t>:</w:t>
      </w:r>
      <w:r>
        <w:rPr>
          <w:rFonts w:hint="eastAsia" w:eastAsiaTheme="minorEastAsia"/>
          <w:lang w:val="en-US" w:eastAsia="zh-CN"/>
        </w:rPr>
        <w:t xml:space="preserve"> Others</w:t>
      </w:r>
    </w:p>
    <w:p w14:paraId="4C5A9ED4">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4</w:t>
      </w:r>
      <w:r>
        <w:rPr>
          <w:rFonts w:ascii="Times New Roman" w:hAnsi="Times New Roman" w:cs="Times New Roman"/>
          <w:sz w:val="24"/>
          <w:szCs w:val="16"/>
        </w:rPr>
        <w:t>-1 Specification structure</w:t>
      </w:r>
    </w:p>
    <w:p w14:paraId="464C3B11">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4</w:t>
      </w:r>
      <w:r>
        <w:rPr>
          <w:rFonts w:ascii="Times New Roman" w:hAnsi="Times New Roman" w:cs="Times New Roman"/>
          <w:sz w:val="20"/>
          <w:u w:val="single"/>
          <w:lang w:eastAsia="ko-KR"/>
        </w:rPr>
        <w:t>-1</w:t>
      </w:r>
      <w:r>
        <w:rPr>
          <w:rFonts w:hint="eastAsia" w:ascii="Times New Roman" w:hAnsi="Times New Roman" w:cs="Times New Roman"/>
          <w:sz w:val="20"/>
          <w:u w:val="single"/>
        </w:rPr>
        <w:t>-1</w:t>
      </w:r>
      <w:r>
        <w:rPr>
          <w:rFonts w:ascii="Times New Roman" w:hAnsi="Times New Roman" w:cs="Times New Roman"/>
          <w:sz w:val="20"/>
          <w:u w:val="single"/>
          <w:lang w:eastAsia="ko-KR"/>
        </w:rPr>
        <w:t xml:space="preserve">: </w:t>
      </w:r>
      <w:r>
        <w:rPr>
          <w:rFonts w:ascii="Times New Roman" w:hAnsi="Times New Roman" w:cs="Times New Roman"/>
          <w:sz w:val="20"/>
          <w:u w:val="single"/>
        </w:rPr>
        <w:t>Specification structure</w:t>
      </w:r>
    </w:p>
    <w:p w14:paraId="1A5FD3A3">
      <w:pPr>
        <w:rPr>
          <w:b/>
          <w:lang w:eastAsia="zh-CN"/>
        </w:rPr>
      </w:pPr>
      <w:r>
        <w:rPr>
          <w:b/>
        </w:rPr>
        <w:t>&lt;Way Forward&gt;</w:t>
      </w:r>
      <w:r>
        <w:rPr>
          <w:rFonts w:hint="eastAsia"/>
          <w:b/>
          <w:lang w:eastAsia="zh-CN"/>
        </w:rPr>
        <w:t>:</w:t>
      </w:r>
    </w:p>
    <w:p w14:paraId="08E0091E">
      <w:pPr>
        <w:pStyle w:val="29"/>
        <w:numPr>
          <w:ilvl w:val="0"/>
          <w:numId w:val="6"/>
        </w:numPr>
        <w:spacing w:after="120"/>
        <w:ind w:left="720"/>
        <w:contextualSpacing w:val="0"/>
        <w:rPr>
          <w:rFonts w:ascii="Times New Roman" w:hAnsi="Times New Roman" w:cs="Times New Roman"/>
          <w:bCs/>
          <w:sz w:val="20"/>
        </w:rPr>
      </w:pPr>
      <w:r>
        <w:rPr>
          <w:rFonts w:ascii="Times New Roman" w:hAnsi="Times New Roman" w:cs="Times New Roman"/>
          <w:sz w:val="20"/>
        </w:rPr>
        <w:t>Proposal 1 (CATT</w:t>
      </w:r>
      <w:r>
        <w:rPr>
          <w:rFonts w:hint="eastAsia" w:ascii="Times New Roman" w:hAnsi="Times New Roman" w:cs="Times New Roman"/>
          <w:sz w:val="20"/>
        </w:rPr>
        <w:t xml:space="preserve">, </w:t>
      </w:r>
      <w:r>
        <w:rPr>
          <w:rFonts w:ascii="Times New Roman" w:hAnsi="Times New Roman" w:cs="Times New Roman"/>
          <w:sz w:val="20"/>
        </w:rPr>
        <w:t>Ericsson</w:t>
      </w:r>
      <w:r>
        <w:rPr>
          <w:rFonts w:hint="eastAsia" w:ascii="Times New Roman" w:hAnsi="Times New Roman" w:cs="Times New Roman"/>
          <w:sz w:val="20"/>
        </w:rPr>
        <w:t>, HW</w:t>
      </w:r>
      <w:r>
        <w:rPr>
          <w:rFonts w:ascii="Times New Roman" w:hAnsi="Times New Roman" w:cs="Times New Roman"/>
          <w:sz w:val="20"/>
        </w:rPr>
        <w:t xml:space="preserve">): </w:t>
      </w:r>
    </w:p>
    <w:p w14:paraId="1335957A">
      <w:pPr>
        <w:pStyle w:val="29"/>
        <w:numPr>
          <w:ilvl w:val="1"/>
          <w:numId w:val="6"/>
        </w:numPr>
        <w:spacing w:after="120"/>
        <w:ind w:left="1655"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Use new sections and section number with new suffix X in the specification to capture requirements for (e)RedCap UE with FR1-NTN bands.</w:t>
      </w:r>
      <w:r>
        <w:rPr>
          <w:rFonts w:hint="eastAsia" w:ascii="Times New Roman" w:hAnsi="Times New Roman" w:cs="Times New Roman" w:eastAsiaTheme="minorEastAsia"/>
          <w:iCs/>
          <w:sz w:val="20"/>
        </w:rPr>
        <w:t xml:space="preserve"> </w:t>
      </w:r>
    </w:p>
    <w:p w14:paraId="72378A50">
      <w:pPr>
        <w:pStyle w:val="29"/>
        <w:numPr>
          <w:ilvl w:val="1"/>
          <w:numId w:val="6"/>
        </w:numPr>
        <w:spacing w:after="120"/>
        <w:ind w:left="1655"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Utilize the reference method for the requirements that can be reused.</w:t>
      </w:r>
    </w:p>
    <w:p w14:paraId="7D54C25C">
      <w:pPr>
        <w:pStyle w:val="29"/>
        <w:numPr>
          <w:ilvl w:val="0"/>
          <w:numId w:val="6"/>
        </w:numPr>
        <w:spacing w:after="120"/>
        <w:ind w:left="720"/>
        <w:contextualSpacing w:val="0"/>
        <w:rPr>
          <w:rFonts w:ascii="Times New Roman" w:hAnsi="Times New Roman" w:cs="Times New Roman"/>
          <w:sz w:val="20"/>
        </w:rPr>
      </w:pPr>
      <w:r>
        <w:rPr>
          <w:rFonts w:ascii="Times New Roman" w:hAnsi="Times New Roman" w:cs="Times New Roman"/>
          <w:sz w:val="20"/>
        </w:rPr>
        <w:t xml:space="preserve">Proposal </w:t>
      </w:r>
      <w:r>
        <w:rPr>
          <w:rFonts w:hint="eastAsia" w:ascii="Times New Roman" w:hAnsi="Times New Roman" w:cs="Times New Roman"/>
          <w:sz w:val="20"/>
        </w:rPr>
        <w:t>2</w:t>
      </w:r>
      <w:r>
        <w:rPr>
          <w:rFonts w:ascii="Times New Roman" w:hAnsi="Times New Roman" w:cs="Times New Roman"/>
          <w:sz w:val="20"/>
        </w:rPr>
        <w:t xml:space="preserve"> (</w:t>
      </w:r>
      <w:r>
        <w:rPr>
          <w:rFonts w:hint="eastAsia" w:ascii="Times New Roman" w:hAnsi="Times New Roman" w:cs="Times New Roman"/>
          <w:sz w:val="20"/>
        </w:rPr>
        <w:t>Nokia</w:t>
      </w:r>
      <w:r>
        <w:rPr>
          <w:rFonts w:ascii="Times New Roman" w:hAnsi="Times New Roman" w:cs="Times New Roman"/>
          <w:sz w:val="20"/>
        </w:rPr>
        <w:t>):</w:t>
      </w:r>
    </w:p>
    <w:p w14:paraId="68D7C35A">
      <w:pPr>
        <w:pStyle w:val="29"/>
        <w:numPr>
          <w:ilvl w:val="1"/>
          <w:numId w:val="6"/>
        </w:numPr>
        <w:spacing w:after="120"/>
        <w:ind w:left="1655"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Adopt RedCap subclauses under NTN sections (under Suffix C).</w:t>
      </w:r>
    </w:p>
    <w:p w14:paraId="4622C588">
      <w:pPr>
        <w:pStyle w:val="29"/>
        <w:spacing w:after="120"/>
        <w:ind w:left="2376"/>
        <w:rPr>
          <w:rFonts w:ascii="Times New Roman" w:hAnsi="Times New Roman" w:cs="Times New Roman" w:eastAsiaTheme="minorEastAsia"/>
          <w:iCs/>
          <w:sz w:val="20"/>
        </w:rPr>
      </w:pPr>
    </w:p>
    <w:p w14:paraId="1EA05679">
      <w:pPr>
        <w:pStyle w:val="29"/>
        <w:spacing w:after="120"/>
        <w:ind w:left="2376"/>
        <w:contextualSpacing w:val="0"/>
        <w:rPr>
          <w:rFonts w:ascii="Times New Roman" w:hAnsi="Times New Roman" w:cs="Times New Roman" w:eastAsiaTheme="minorEastAsia"/>
          <w:iCs/>
          <w:sz w:val="20"/>
          <w:highlight w:val="yellow"/>
        </w:rPr>
      </w:pPr>
    </w:p>
    <w:p w14:paraId="745BE355">
      <w:pPr>
        <w:pStyle w:val="4"/>
        <w:numPr>
          <w:ilvl w:val="2"/>
          <w:numId w:val="0"/>
        </w:numPr>
        <w:spacing w:before="120" w:after="180" w:line="240" w:lineRule="auto"/>
        <w:ind w:left="720" w:hanging="720"/>
        <w:rPr>
          <w:rFonts w:ascii="Times New Roman" w:hAnsi="Times New Roman" w:cs="Times New Roman"/>
          <w:sz w:val="24"/>
          <w:szCs w:val="16"/>
        </w:rPr>
      </w:pPr>
      <w:r>
        <w:rPr>
          <w:rFonts w:ascii="Times New Roman" w:hAnsi="Times New Roman" w:cs="Times New Roman"/>
          <w:sz w:val="24"/>
          <w:szCs w:val="16"/>
        </w:rPr>
        <w:t xml:space="preserve">Sub-topic </w:t>
      </w:r>
      <w:r>
        <w:rPr>
          <w:rFonts w:hint="eastAsia" w:ascii="Times New Roman" w:hAnsi="Times New Roman" w:cs="Times New Roman"/>
          <w:sz w:val="24"/>
          <w:szCs w:val="16"/>
        </w:rPr>
        <w:t>4</w:t>
      </w:r>
      <w:r>
        <w:rPr>
          <w:rFonts w:ascii="Times New Roman" w:hAnsi="Times New Roman" w:cs="Times New Roman"/>
          <w:sz w:val="24"/>
          <w:szCs w:val="16"/>
        </w:rPr>
        <w:t>-</w:t>
      </w:r>
      <w:r>
        <w:rPr>
          <w:rFonts w:hint="eastAsia" w:ascii="Times New Roman" w:hAnsi="Times New Roman" w:cs="Times New Roman"/>
          <w:sz w:val="24"/>
          <w:szCs w:val="16"/>
        </w:rPr>
        <w:t>2</w:t>
      </w:r>
      <w:r>
        <w:rPr>
          <w:rFonts w:ascii="Times New Roman" w:hAnsi="Times New Roman" w:cs="Times New Roman"/>
          <w:sz w:val="24"/>
          <w:szCs w:val="16"/>
        </w:rPr>
        <w:t xml:space="preserve"> </w:t>
      </w:r>
      <w:r>
        <w:rPr>
          <w:rFonts w:hint="eastAsia" w:ascii="Times New Roman" w:hAnsi="Times New Roman" w:cs="Times New Roman"/>
          <w:sz w:val="24"/>
          <w:szCs w:val="16"/>
        </w:rPr>
        <w:t xml:space="preserve">UE </w:t>
      </w:r>
      <w:r>
        <w:rPr>
          <w:rFonts w:ascii="Times New Roman" w:hAnsi="Times New Roman" w:cs="Times New Roman"/>
          <w:sz w:val="24"/>
          <w:szCs w:val="16"/>
        </w:rPr>
        <w:t>capabilities</w:t>
      </w:r>
      <w:r>
        <w:rPr>
          <w:rFonts w:hint="eastAsia" w:ascii="Times New Roman" w:hAnsi="Times New Roman" w:cs="Times New Roman"/>
          <w:sz w:val="24"/>
          <w:szCs w:val="16"/>
        </w:rPr>
        <w:t xml:space="preserve"> for </w:t>
      </w:r>
      <w:r>
        <w:rPr>
          <w:rFonts w:ascii="Times New Roman" w:hAnsi="Times New Roman" w:cs="Times New Roman"/>
          <w:sz w:val="24"/>
          <w:szCs w:val="16"/>
        </w:rPr>
        <w:t>(e)RedCap UE with FR1-NTN bands</w:t>
      </w:r>
    </w:p>
    <w:p w14:paraId="378CC0C0">
      <w:pPr>
        <w:pStyle w:val="5"/>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rPr>
        <w:t>4</w:t>
      </w:r>
      <w:r>
        <w:rPr>
          <w:rFonts w:ascii="Times New Roman" w:hAnsi="Times New Roman" w:cs="Times New Roman"/>
          <w:sz w:val="20"/>
          <w:u w:val="single"/>
          <w:lang w:eastAsia="ko-KR"/>
        </w:rPr>
        <w:t>-</w:t>
      </w:r>
      <w:r>
        <w:rPr>
          <w:rFonts w:hint="eastAsia" w:ascii="Times New Roman" w:hAnsi="Times New Roman" w:cs="Times New Roman"/>
          <w:sz w:val="20"/>
          <w:u w:val="single"/>
        </w:rPr>
        <w:t>2-1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rPr>
        <w:t xml:space="preserve">How to </w:t>
      </w:r>
      <w:r>
        <w:rPr>
          <w:rFonts w:ascii="Times New Roman" w:hAnsi="Times New Roman" w:cs="Times New Roman"/>
          <w:sz w:val="20"/>
          <w:u w:val="single"/>
        </w:rPr>
        <w:t>declare</w:t>
      </w:r>
      <w:r>
        <w:rPr>
          <w:rFonts w:hint="eastAsia" w:ascii="Times New Roman" w:hAnsi="Times New Roman" w:cs="Times New Roman"/>
          <w:sz w:val="20"/>
          <w:u w:val="single"/>
        </w:rPr>
        <w:t xml:space="preserve"> the </w:t>
      </w:r>
      <w:r>
        <w:rPr>
          <w:rFonts w:ascii="Times New Roman" w:hAnsi="Times New Roman" w:cs="Times New Roman"/>
          <w:sz w:val="20"/>
          <w:u w:val="single"/>
        </w:rPr>
        <w:t>capabilities</w:t>
      </w:r>
      <w:r>
        <w:rPr>
          <w:rFonts w:hint="eastAsia" w:ascii="Times New Roman" w:hAnsi="Times New Roman" w:cs="Times New Roman"/>
          <w:sz w:val="20"/>
          <w:u w:val="single"/>
        </w:rPr>
        <w:t xml:space="preserve"> for </w:t>
      </w:r>
      <w:r>
        <w:rPr>
          <w:rFonts w:ascii="Times New Roman" w:hAnsi="Times New Roman" w:cs="Times New Roman"/>
          <w:sz w:val="20"/>
          <w:u w:val="single"/>
        </w:rPr>
        <w:t>(e)RedCap UE with FR1-NTN bands</w:t>
      </w:r>
      <w:r>
        <w:rPr>
          <w:rFonts w:hint="eastAsia" w:ascii="Times New Roman" w:hAnsi="Times New Roman" w:cs="Times New Roman"/>
          <w:sz w:val="20"/>
          <w:u w:val="single"/>
        </w:rPr>
        <w:t>?</w:t>
      </w:r>
    </w:p>
    <w:p w14:paraId="0FA95ABD">
      <w:pPr>
        <w:rPr>
          <w:b/>
          <w:lang w:eastAsia="zh-CN"/>
        </w:rPr>
      </w:pPr>
      <w:r>
        <w:rPr>
          <w:b/>
        </w:rPr>
        <w:t>&lt;Way Forward&gt;</w:t>
      </w:r>
      <w:r>
        <w:rPr>
          <w:rFonts w:hint="eastAsia"/>
          <w:b/>
          <w:lang w:eastAsia="zh-CN"/>
        </w:rPr>
        <w:t>:</w:t>
      </w:r>
    </w:p>
    <w:p w14:paraId="4EF75F7A">
      <w:pPr>
        <w:pStyle w:val="29"/>
        <w:numPr>
          <w:ilvl w:val="0"/>
          <w:numId w:val="6"/>
        </w:numPr>
        <w:spacing w:after="120"/>
        <w:ind w:left="720"/>
        <w:contextualSpacing w:val="0"/>
        <w:rPr>
          <w:rFonts w:ascii="Times New Roman" w:hAnsi="Times New Roman" w:cs="Times New Roman"/>
          <w:bCs/>
          <w:sz w:val="20"/>
        </w:rPr>
      </w:pPr>
      <w:r>
        <w:rPr>
          <w:rFonts w:ascii="Times New Roman" w:hAnsi="Times New Roman" w:cs="Times New Roman"/>
          <w:sz w:val="20"/>
        </w:rPr>
        <w:t>Proposal 1 (</w:t>
      </w:r>
      <w:r>
        <w:rPr>
          <w:rFonts w:hint="eastAsia" w:ascii="Times New Roman" w:hAnsi="Times New Roman" w:cs="Times New Roman"/>
          <w:sz w:val="20"/>
        </w:rPr>
        <w:t>Nokia</w:t>
      </w:r>
      <w:r>
        <w:rPr>
          <w:rFonts w:ascii="Times New Roman" w:hAnsi="Times New Roman" w:cs="Times New Roman"/>
          <w:sz w:val="20"/>
        </w:rPr>
        <w:t xml:space="preserve">): </w:t>
      </w:r>
      <w:r>
        <w:rPr>
          <w:rFonts w:ascii="Times New Roman" w:hAnsi="Times New Roman" w:cs="Times New Roman" w:eastAsiaTheme="minorEastAsia"/>
          <w:iCs/>
          <w:sz w:val="20"/>
        </w:rPr>
        <w:t>RAN4 to discuss whether a new capability is needed to declare RedCap support of NTN or whether this support is implicit from declaring support of RedCap (</w:t>
      </w:r>
      <w:r>
        <w:rPr>
          <w:rFonts w:ascii="Times New Roman" w:hAnsi="Times New Roman" w:cs="Times New Roman" w:eastAsiaTheme="minorEastAsia"/>
          <w:i/>
          <w:iCs/>
          <w:sz w:val="20"/>
        </w:rPr>
        <w:t>supportOfRedCap-r17</w:t>
      </w:r>
      <w:r>
        <w:rPr>
          <w:rFonts w:ascii="Times New Roman" w:hAnsi="Times New Roman" w:cs="Times New Roman" w:eastAsiaTheme="minorEastAsia"/>
          <w:iCs/>
          <w:sz w:val="20"/>
        </w:rPr>
        <w:t xml:space="preserve"> or </w:t>
      </w:r>
      <w:r>
        <w:rPr>
          <w:rFonts w:ascii="Times New Roman" w:hAnsi="Times New Roman" w:cs="Times New Roman" w:eastAsiaTheme="minorEastAsia"/>
          <w:i/>
          <w:iCs/>
          <w:sz w:val="20"/>
        </w:rPr>
        <w:t>supportOfERedCap-r18</w:t>
      </w:r>
      <w:r>
        <w:rPr>
          <w:rFonts w:ascii="Times New Roman" w:hAnsi="Times New Roman" w:cs="Times New Roman" w:eastAsiaTheme="minorEastAsia"/>
          <w:iCs/>
          <w:sz w:val="20"/>
        </w:rPr>
        <w:t>) AND declare support of NTN (</w:t>
      </w:r>
      <w:r>
        <w:rPr>
          <w:rFonts w:ascii="Times New Roman" w:hAnsi="Times New Roman" w:cs="Times New Roman" w:eastAsiaTheme="minorEastAsia"/>
          <w:i/>
          <w:iCs/>
          <w:sz w:val="20"/>
        </w:rPr>
        <w:t>nonTerrestrialNetwork-r17</w:t>
      </w:r>
      <w:r>
        <w:rPr>
          <w:rFonts w:ascii="Times New Roman" w:hAnsi="Times New Roman" w:cs="Times New Roman" w:eastAsiaTheme="minorEastAsia"/>
          <w:iCs/>
          <w:sz w:val="20"/>
        </w:rPr>
        <w:t>)</w:t>
      </w:r>
    </w:p>
    <w:p w14:paraId="29A689D1">
      <w:pPr>
        <w:pStyle w:val="29"/>
        <w:numPr>
          <w:ilvl w:val="1"/>
          <w:numId w:val="6"/>
        </w:numPr>
        <w:spacing w:after="120"/>
        <w:ind w:left="1655"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Proposal 1</w:t>
      </w:r>
      <w:r>
        <w:rPr>
          <w:rFonts w:hint="eastAsia" w:ascii="Times New Roman" w:hAnsi="Times New Roman" w:cs="Times New Roman" w:eastAsiaTheme="minorEastAsia"/>
          <w:iCs/>
          <w:sz w:val="20"/>
        </w:rPr>
        <w:t>a</w:t>
      </w:r>
      <w:r>
        <w:rPr>
          <w:rFonts w:ascii="Times New Roman" w:hAnsi="Times New Roman" w:cs="Times New Roman" w:eastAsiaTheme="minorEastAsia"/>
          <w:iCs/>
          <w:sz w:val="20"/>
        </w:rPr>
        <w:t xml:space="preserve"> (</w:t>
      </w:r>
      <w:r>
        <w:rPr>
          <w:rFonts w:hint="eastAsia" w:ascii="Times New Roman" w:hAnsi="Times New Roman" w:cs="Times New Roman" w:eastAsiaTheme="minorEastAsia"/>
          <w:iCs/>
          <w:sz w:val="20"/>
        </w:rPr>
        <w:t>CMCC</w:t>
      </w:r>
      <w:r>
        <w:rPr>
          <w:rFonts w:ascii="Times New Roman" w:hAnsi="Times New Roman" w:cs="Times New Roman" w:eastAsiaTheme="minorEastAsia"/>
          <w:iCs/>
          <w:sz w:val="20"/>
        </w:rPr>
        <w:t>): Declare the capabilities for (e)RedCap UE with FR1-NTN bands through implicitly by declaring support of RedCap (</w:t>
      </w:r>
      <w:r>
        <w:rPr>
          <w:rFonts w:ascii="Times New Roman" w:hAnsi="Times New Roman" w:cs="Times New Roman" w:eastAsiaTheme="minorEastAsia"/>
          <w:i/>
          <w:iCs/>
          <w:sz w:val="20"/>
        </w:rPr>
        <w:t xml:space="preserve">supportOfRedCap-r17 </w:t>
      </w:r>
      <w:r>
        <w:rPr>
          <w:rFonts w:ascii="Times New Roman" w:hAnsi="Times New Roman" w:cs="Times New Roman" w:eastAsiaTheme="minorEastAsia"/>
          <w:iCs/>
          <w:sz w:val="20"/>
        </w:rPr>
        <w:t xml:space="preserve">or </w:t>
      </w:r>
      <w:r>
        <w:rPr>
          <w:rFonts w:ascii="Times New Roman" w:hAnsi="Times New Roman" w:cs="Times New Roman" w:eastAsiaTheme="minorEastAsia"/>
          <w:i/>
          <w:iCs/>
          <w:sz w:val="20"/>
        </w:rPr>
        <w:t>supportOfERedCap-r18</w:t>
      </w:r>
      <w:r>
        <w:rPr>
          <w:rFonts w:ascii="Times New Roman" w:hAnsi="Times New Roman" w:cs="Times New Roman" w:eastAsiaTheme="minorEastAsia"/>
          <w:iCs/>
          <w:sz w:val="20"/>
        </w:rPr>
        <w:t>) and support of NTN (</w:t>
      </w:r>
      <w:r>
        <w:rPr>
          <w:rFonts w:ascii="Times New Roman" w:hAnsi="Times New Roman" w:cs="Times New Roman" w:eastAsiaTheme="minorEastAsia"/>
          <w:i/>
          <w:iCs/>
          <w:sz w:val="20"/>
        </w:rPr>
        <w:t>nonTerrestrialNetwork-r17</w:t>
      </w:r>
      <w:r>
        <w:rPr>
          <w:rFonts w:ascii="Times New Roman" w:hAnsi="Times New Roman" w:cs="Times New Roman" w:eastAsiaTheme="minorEastAsia"/>
          <w:iCs/>
          <w:sz w:val="20"/>
        </w:rPr>
        <w:t>).</w:t>
      </w:r>
    </w:p>
    <w:p w14:paraId="40413A81">
      <w:pPr>
        <w:pStyle w:val="29"/>
        <w:numPr>
          <w:ilvl w:val="1"/>
          <w:numId w:val="6"/>
        </w:numPr>
        <w:spacing w:after="120"/>
        <w:ind w:left="1655" w:hanging="357"/>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 xml:space="preserve">Proposal </w:t>
      </w:r>
      <w:r>
        <w:rPr>
          <w:rFonts w:hint="eastAsia" w:ascii="Times New Roman" w:hAnsi="Times New Roman" w:cs="Times New Roman" w:eastAsiaTheme="minorEastAsia"/>
          <w:iCs/>
          <w:sz w:val="20"/>
        </w:rPr>
        <w:t>1b</w:t>
      </w:r>
      <w:r>
        <w:rPr>
          <w:rFonts w:ascii="Times New Roman" w:hAnsi="Times New Roman" w:cs="Times New Roman" w:eastAsiaTheme="minorEastAsia"/>
          <w:iCs/>
          <w:sz w:val="20"/>
        </w:rPr>
        <w:t xml:space="preserve"> (Ericsson): RAN4 to define a new capability declaring (e) RedCap for NTN.</w:t>
      </w:r>
    </w:p>
    <w:p w14:paraId="319D2EAA">
      <w:pPr>
        <w:spacing w:after="0"/>
        <w:jc w:val="both"/>
        <w:rPr>
          <w:rFonts w:eastAsiaTheme="minorEastAsia"/>
          <w:bCs/>
          <w:iCs/>
          <w:color w:val="0070C0"/>
          <w:lang w:eastAsia="zh-CN"/>
        </w:rPr>
      </w:pPr>
    </w:p>
    <w:sectPr>
      <w:footnotePr>
        <w:numRestart w:val="eachSect"/>
      </w:footnotePr>
      <w:type w:val="continuous"/>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Arial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PMingLiU">
    <w:altName w:val="Microsoft JhengHei UI"/>
    <w:panose1 w:val="02010601000101010101"/>
    <w:charset w:val="88"/>
    <w:family w:val="auto"/>
    <w:pitch w:val="default"/>
    <w:sig w:usb0="00000000" w:usb1="00000000" w:usb2="00000010" w:usb3="00000000" w:csb0="00100000" w:csb1="00000000"/>
  </w:font>
  <w:font w:name="Cambria Math">
    <w:panose1 w:val="02040503050406030204"/>
    <w:charset w:val="00"/>
    <w:family w:val="roman"/>
    <w:pitch w:val="default"/>
    <w:sig w:usb0="E00006FF" w:usb1="420024FF" w:usb2="02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9984B">
    <w:pPr>
      <w:pStyle w:val="1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44D00"/>
    <w:multiLevelType w:val="multilevel"/>
    <w:tmpl w:val="09844D00"/>
    <w:lvl w:ilvl="0" w:tentative="0">
      <w:start w:val="3"/>
      <w:numFmt w:val="bullet"/>
      <w:lvlText w:val="-"/>
      <w:lvlJc w:val="left"/>
      <w:pPr>
        <w:ind w:left="3582" w:hanging="420"/>
      </w:pPr>
      <w:rPr>
        <w:rFonts w:hint="default" w:ascii="Times New Roman" w:hAnsi="Times New Roman" w:cs="Times New Roman" w:eastAsiaTheme="minorEastAsia"/>
      </w:rPr>
    </w:lvl>
    <w:lvl w:ilvl="1" w:tentative="0">
      <w:start w:val="1"/>
      <w:numFmt w:val="bullet"/>
      <w:lvlText w:val=""/>
      <w:lvlJc w:val="left"/>
      <w:pPr>
        <w:ind w:left="4002" w:hanging="420"/>
      </w:pPr>
      <w:rPr>
        <w:rFonts w:hint="default" w:ascii="Wingdings" w:hAnsi="Wingdings"/>
      </w:rPr>
    </w:lvl>
    <w:lvl w:ilvl="2" w:tentative="0">
      <w:start w:val="1"/>
      <w:numFmt w:val="bullet"/>
      <w:lvlText w:val=""/>
      <w:lvlJc w:val="left"/>
      <w:pPr>
        <w:ind w:left="4422" w:hanging="420"/>
      </w:pPr>
      <w:rPr>
        <w:rFonts w:hint="default" w:ascii="Wingdings" w:hAnsi="Wingdings"/>
      </w:rPr>
    </w:lvl>
    <w:lvl w:ilvl="3" w:tentative="0">
      <w:start w:val="1"/>
      <w:numFmt w:val="bullet"/>
      <w:lvlText w:val=""/>
      <w:lvlJc w:val="left"/>
      <w:pPr>
        <w:ind w:left="4842" w:hanging="420"/>
      </w:pPr>
      <w:rPr>
        <w:rFonts w:hint="default" w:ascii="Wingdings" w:hAnsi="Wingdings"/>
      </w:rPr>
    </w:lvl>
    <w:lvl w:ilvl="4" w:tentative="0">
      <w:start w:val="1"/>
      <w:numFmt w:val="bullet"/>
      <w:lvlText w:val=""/>
      <w:lvlJc w:val="left"/>
      <w:pPr>
        <w:ind w:left="5262" w:hanging="420"/>
      </w:pPr>
      <w:rPr>
        <w:rFonts w:hint="default" w:ascii="Wingdings" w:hAnsi="Wingdings"/>
      </w:rPr>
    </w:lvl>
    <w:lvl w:ilvl="5" w:tentative="0">
      <w:start w:val="1"/>
      <w:numFmt w:val="bullet"/>
      <w:lvlText w:val=""/>
      <w:lvlJc w:val="left"/>
      <w:pPr>
        <w:ind w:left="5682" w:hanging="420"/>
      </w:pPr>
      <w:rPr>
        <w:rFonts w:hint="default" w:ascii="Wingdings" w:hAnsi="Wingdings"/>
      </w:rPr>
    </w:lvl>
    <w:lvl w:ilvl="6" w:tentative="0">
      <w:start w:val="1"/>
      <w:numFmt w:val="bullet"/>
      <w:lvlText w:val=""/>
      <w:lvlJc w:val="left"/>
      <w:pPr>
        <w:ind w:left="6102" w:hanging="420"/>
      </w:pPr>
      <w:rPr>
        <w:rFonts w:hint="default" w:ascii="Wingdings" w:hAnsi="Wingdings"/>
      </w:rPr>
    </w:lvl>
    <w:lvl w:ilvl="7" w:tentative="0">
      <w:start w:val="1"/>
      <w:numFmt w:val="bullet"/>
      <w:lvlText w:val=""/>
      <w:lvlJc w:val="left"/>
      <w:pPr>
        <w:ind w:left="6522" w:hanging="420"/>
      </w:pPr>
      <w:rPr>
        <w:rFonts w:hint="default" w:ascii="Wingdings" w:hAnsi="Wingdings"/>
      </w:rPr>
    </w:lvl>
    <w:lvl w:ilvl="8" w:tentative="0">
      <w:start w:val="1"/>
      <w:numFmt w:val="bullet"/>
      <w:lvlText w:val=""/>
      <w:lvlJc w:val="left"/>
      <w:pPr>
        <w:ind w:left="6942" w:hanging="420"/>
      </w:pPr>
      <w:rPr>
        <w:rFonts w:hint="default" w:ascii="Wingdings" w:hAnsi="Wingdings"/>
      </w:rPr>
    </w:lvl>
  </w:abstractNum>
  <w:abstractNum w:abstractNumId="1">
    <w:nsid w:val="123527BB"/>
    <w:multiLevelType w:val="multilevel"/>
    <w:tmpl w:val="123527BB"/>
    <w:lvl w:ilvl="0" w:tentative="0">
      <w:start w:val="0"/>
      <w:numFmt w:val="bullet"/>
      <w:lvlText w:val="-"/>
      <w:lvlJc w:val="left"/>
      <w:pPr>
        <w:ind w:left="3516" w:hanging="420"/>
      </w:pPr>
      <w:rPr>
        <w:rFonts w:hint="default" w:ascii="Calibri" w:hAnsi="Calibri" w:eastAsia="宋体" w:cs="Calibri"/>
        <w:color w:val="auto"/>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2">
    <w:nsid w:val="219A58CE"/>
    <w:multiLevelType w:val="multilevel"/>
    <w:tmpl w:val="219A58CE"/>
    <w:lvl w:ilvl="0" w:tentative="0">
      <w:start w:val="1"/>
      <w:numFmt w:val="bullet"/>
      <w:lvlText w:val="-"/>
      <w:lvlJc w:val="left"/>
      <w:pPr>
        <w:ind w:left="4002" w:hanging="420"/>
      </w:pPr>
      <w:rPr>
        <w:rFonts w:hint="default" w:ascii="Times New Roman" w:hAnsi="Times New Roman" w:eastAsia="宋体" w:cs="Times New Roman"/>
      </w:rPr>
    </w:lvl>
    <w:lvl w:ilvl="1" w:tentative="0">
      <w:start w:val="1"/>
      <w:numFmt w:val="bullet"/>
      <w:lvlText w:val=""/>
      <w:lvlJc w:val="left"/>
      <w:pPr>
        <w:ind w:left="4422" w:hanging="420"/>
      </w:pPr>
      <w:rPr>
        <w:rFonts w:hint="default" w:ascii="Wingdings" w:hAnsi="Wingdings"/>
      </w:rPr>
    </w:lvl>
    <w:lvl w:ilvl="2" w:tentative="0">
      <w:start w:val="1"/>
      <w:numFmt w:val="bullet"/>
      <w:lvlText w:val=""/>
      <w:lvlJc w:val="left"/>
      <w:pPr>
        <w:ind w:left="4842" w:hanging="420"/>
      </w:pPr>
      <w:rPr>
        <w:rFonts w:hint="default" w:ascii="Wingdings" w:hAnsi="Wingdings"/>
      </w:rPr>
    </w:lvl>
    <w:lvl w:ilvl="3" w:tentative="0">
      <w:start w:val="1"/>
      <w:numFmt w:val="bullet"/>
      <w:lvlText w:val=""/>
      <w:lvlJc w:val="left"/>
      <w:pPr>
        <w:ind w:left="5262" w:hanging="420"/>
      </w:pPr>
      <w:rPr>
        <w:rFonts w:hint="default" w:ascii="Wingdings" w:hAnsi="Wingdings"/>
      </w:rPr>
    </w:lvl>
    <w:lvl w:ilvl="4" w:tentative="0">
      <w:start w:val="1"/>
      <w:numFmt w:val="bullet"/>
      <w:lvlText w:val=""/>
      <w:lvlJc w:val="left"/>
      <w:pPr>
        <w:ind w:left="5682" w:hanging="420"/>
      </w:pPr>
      <w:rPr>
        <w:rFonts w:hint="default" w:ascii="Wingdings" w:hAnsi="Wingdings"/>
      </w:rPr>
    </w:lvl>
    <w:lvl w:ilvl="5" w:tentative="0">
      <w:start w:val="1"/>
      <w:numFmt w:val="bullet"/>
      <w:lvlText w:val=""/>
      <w:lvlJc w:val="left"/>
      <w:pPr>
        <w:ind w:left="6102" w:hanging="420"/>
      </w:pPr>
      <w:rPr>
        <w:rFonts w:hint="default" w:ascii="Wingdings" w:hAnsi="Wingdings"/>
      </w:rPr>
    </w:lvl>
    <w:lvl w:ilvl="6" w:tentative="0">
      <w:start w:val="1"/>
      <w:numFmt w:val="bullet"/>
      <w:lvlText w:val=""/>
      <w:lvlJc w:val="left"/>
      <w:pPr>
        <w:ind w:left="6522" w:hanging="420"/>
      </w:pPr>
      <w:rPr>
        <w:rFonts w:hint="default" w:ascii="Wingdings" w:hAnsi="Wingdings"/>
      </w:rPr>
    </w:lvl>
    <w:lvl w:ilvl="7" w:tentative="0">
      <w:start w:val="1"/>
      <w:numFmt w:val="bullet"/>
      <w:lvlText w:val=""/>
      <w:lvlJc w:val="left"/>
      <w:pPr>
        <w:ind w:left="6942" w:hanging="420"/>
      </w:pPr>
      <w:rPr>
        <w:rFonts w:hint="default" w:ascii="Wingdings" w:hAnsi="Wingdings"/>
      </w:rPr>
    </w:lvl>
    <w:lvl w:ilvl="8" w:tentative="0">
      <w:start w:val="1"/>
      <w:numFmt w:val="bullet"/>
      <w:lvlText w:val=""/>
      <w:lvlJc w:val="left"/>
      <w:pPr>
        <w:ind w:left="7362" w:hanging="420"/>
      </w:pPr>
      <w:rPr>
        <w:rFonts w:hint="default" w:ascii="Wingdings" w:hAnsi="Wingdings"/>
      </w:rPr>
    </w:lvl>
  </w:abstractNum>
  <w:abstractNum w:abstractNumId="3">
    <w:nsid w:val="270B17D0"/>
    <w:multiLevelType w:val="multilevel"/>
    <w:tmpl w:val="270B17D0"/>
    <w:lvl w:ilvl="0" w:tentative="0">
      <w:start w:val="0"/>
      <w:numFmt w:val="bullet"/>
      <w:lvlText w:val="-"/>
      <w:lvlJc w:val="left"/>
      <w:pPr>
        <w:ind w:left="3516" w:hanging="420"/>
      </w:pPr>
      <w:rPr>
        <w:rFonts w:hint="default" w:ascii="Times New Roman" w:hAnsi="Times New Roman" w:eastAsia="MS Mincho" w:cs="Times New Roman"/>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4">
    <w:nsid w:val="29F978E9"/>
    <w:multiLevelType w:val="multilevel"/>
    <w:tmpl w:val="29F978E9"/>
    <w:lvl w:ilvl="0" w:tentative="0">
      <w:start w:val="1"/>
      <w:numFmt w:val="bullet"/>
      <w:pStyle w:val="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01510"/>
    <w:multiLevelType w:val="multilevel"/>
    <w:tmpl w:val="47901510"/>
    <w:lvl w:ilvl="0" w:tentative="0">
      <w:start w:val="3"/>
      <w:numFmt w:val="bullet"/>
      <w:lvlText w:val="-"/>
      <w:lvlJc w:val="left"/>
      <w:pPr>
        <w:ind w:left="3516" w:hanging="420"/>
      </w:pPr>
      <w:rPr>
        <w:rFonts w:hint="default" w:ascii="Times New Roman" w:hAnsi="Times New Roman" w:cs="Times New Roman" w:eastAsiaTheme="minorEastAsia"/>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6">
    <w:nsid w:val="4D6E3167"/>
    <w:multiLevelType w:val="multilevel"/>
    <w:tmpl w:val="4D6E3167"/>
    <w:lvl w:ilvl="0" w:tentative="0">
      <w:start w:val="1"/>
      <w:numFmt w:val="decimal"/>
      <w:pStyle w:val="6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E54400C"/>
    <w:multiLevelType w:val="multilevel"/>
    <w:tmpl w:val="4E54400C"/>
    <w:lvl w:ilvl="0" w:tentative="0">
      <w:start w:val="3"/>
      <w:numFmt w:val="bullet"/>
      <w:lvlText w:val="-"/>
      <w:lvlJc w:val="left"/>
      <w:pPr>
        <w:ind w:left="3507" w:hanging="420"/>
      </w:pPr>
      <w:rPr>
        <w:rFonts w:hint="default" w:ascii="Times New Roman" w:hAnsi="Times New Roman" w:cs="Times New Roman" w:eastAsiaTheme="minorEastAsia"/>
      </w:rPr>
    </w:lvl>
    <w:lvl w:ilvl="1" w:tentative="0">
      <w:start w:val="1"/>
      <w:numFmt w:val="bullet"/>
      <w:lvlText w:val=""/>
      <w:lvlJc w:val="left"/>
      <w:pPr>
        <w:ind w:left="3927" w:hanging="420"/>
      </w:pPr>
      <w:rPr>
        <w:rFonts w:hint="default" w:ascii="Wingdings" w:hAnsi="Wingdings"/>
      </w:rPr>
    </w:lvl>
    <w:lvl w:ilvl="2" w:tentative="0">
      <w:start w:val="1"/>
      <w:numFmt w:val="bullet"/>
      <w:lvlText w:val=""/>
      <w:lvlJc w:val="left"/>
      <w:pPr>
        <w:ind w:left="4347" w:hanging="420"/>
      </w:pPr>
      <w:rPr>
        <w:rFonts w:hint="default" w:ascii="Wingdings" w:hAnsi="Wingdings"/>
      </w:rPr>
    </w:lvl>
    <w:lvl w:ilvl="3" w:tentative="0">
      <w:start w:val="1"/>
      <w:numFmt w:val="bullet"/>
      <w:lvlText w:val=""/>
      <w:lvlJc w:val="left"/>
      <w:pPr>
        <w:ind w:left="4767" w:hanging="420"/>
      </w:pPr>
      <w:rPr>
        <w:rFonts w:hint="default" w:ascii="Wingdings" w:hAnsi="Wingdings"/>
      </w:rPr>
    </w:lvl>
    <w:lvl w:ilvl="4" w:tentative="0">
      <w:start w:val="1"/>
      <w:numFmt w:val="bullet"/>
      <w:lvlText w:val=""/>
      <w:lvlJc w:val="left"/>
      <w:pPr>
        <w:ind w:left="5187" w:hanging="420"/>
      </w:pPr>
      <w:rPr>
        <w:rFonts w:hint="default" w:ascii="Wingdings" w:hAnsi="Wingdings"/>
      </w:rPr>
    </w:lvl>
    <w:lvl w:ilvl="5" w:tentative="0">
      <w:start w:val="1"/>
      <w:numFmt w:val="bullet"/>
      <w:lvlText w:val=""/>
      <w:lvlJc w:val="left"/>
      <w:pPr>
        <w:ind w:left="5607" w:hanging="420"/>
      </w:pPr>
      <w:rPr>
        <w:rFonts w:hint="default" w:ascii="Wingdings" w:hAnsi="Wingdings"/>
      </w:rPr>
    </w:lvl>
    <w:lvl w:ilvl="6" w:tentative="0">
      <w:start w:val="1"/>
      <w:numFmt w:val="bullet"/>
      <w:lvlText w:val=""/>
      <w:lvlJc w:val="left"/>
      <w:pPr>
        <w:ind w:left="6027" w:hanging="420"/>
      </w:pPr>
      <w:rPr>
        <w:rFonts w:hint="default" w:ascii="Wingdings" w:hAnsi="Wingdings"/>
      </w:rPr>
    </w:lvl>
    <w:lvl w:ilvl="7" w:tentative="0">
      <w:start w:val="1"/>
      <w:numFmt w:val="bullet"/>
      <w:lvlText w:val=""/>
      <w:lvlJc w:val="left"/>
      <w:pPr>
        <w:ind w:left="6447" w:hanging="420"/>
      </w:pPr>
      <w:rPr>
        <w:rFonts w:hint="default" w:ascii="Wingdings" w:hAnsi="Wingdings"/>
      </w:rPr>
    </w:lvl>
    <w:lvl w:ilvl="8" w:tentative="0">
      <w:start w:val="1"/>
      <w:numFmt w:val="bullet"/>
      <w:lvlText w:val=""/>
      <w:lvlJc w:val="left"/>
      <w:pPr>
        <w:ind w:left="6867" w:hanging="420"/>
      </w:pPr>
      <w:rPr>
        <w:rFonts w:hint="default" w:ascii="Wingdings" w:hAnsi="Wingdings"/>
      </w:rPr>
    </w:lvl>
  </w:abstractNum>
  <w:abstractNum w:abstractNumId="8">
    <w:nsid w:val="5101505E"/>
    <w:multiLevelType w:val="multilevel"/>
    <w:tmpl w:val="5101505E"/>
    <w:lvl w:ilvl="0" w:tentative="0">
      <w:start w:val="1"/>
      <w:numFmt w:val="decimal"/>
      <w:pStyle w:val="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1E00EEF"/>
    <w:multiLevelType w:val="multilevel"/>
    <w:tmpl w:val="61E00EEF"/>
    <w:lvl w:ilvl="0" w:tentative="0">
      <w:start w:val="1"/>
      <w:numFmt w:val="bullet"/>
      <w:lvlText w:val=""/>
      <w:lvlJc w:val="left"/>
      <w:pPr>
        <w:ind w:left="900" w:hanging="480"/>
      </w:pPr>
      <w:rPr>
        <w:rFonts w:hint="default" w:ascii="Wingdings" w:hAnsi="Wingdings"/>
      </w:rPr>
    </w:lvl>
    <w:lvl w:ilvl="1" w:tentative="0">
      <w:start w:val="1"/>
      <w:numFmt w:val="bullet"/>
      <w:lvlText w:val=""/>
      <w:lvlJc w:val="left"/>
      <w:pPr>
        <w:ind w:left="1380" w:hanging="480"/>
      </w:pPr>
      <w:rPr>
        <w:rFonts w:hint="default" w:ascii="Wingdings" w:hAnsi="Wingdings"/>
      </w:rPr>
    </w:lvl>
    <w:lvl w:ilvl="2" w:tentative="0">
      <w:start w:val="1"/>
      <w:numFmt w:val="bullet"/>
      <w:lvlText w:val=""/>
      <w:lvlJc w:val="left"/>
      <w:pPr>
        <w:ind w:left="1860" w:hanging="480"/>
      </w:pPr>
      <w:rPr>
        <w:rFonts w:hint="default" w:ascii="Wingdings" w:hAnsi="Wingdings"/>
      </w:rPr>
    </w:lvl>
    <w:lvl w:ilvl="3" w:tentative="0">
      <w:start w:val="1"/>
      <w:numFmt w:val="bullet"/>
      <w:lvlText w:val=""/>
      <w:lvlJc w:val="left"/>
      <w:pPr>
        <w:ind w:left="2340" w:hanging="480"/>
      </w:pPr>
      <w:rPr>
        <w:rFonts w:hint="default" w:ascii="Wingdings" w:hAnsi="Wingdings"/>
      </w:rPr>
    </w:lvl>
    <w:lvl w:ilvl="4" w:tentative="0">
      <w:start w:val="1"/>
      <w:numFmt w:val="bullet"/>
      <w:lvlText w:val=""/>
      <w:lvlJc w:val="left"/>
      <w:pPr>
        <w:ind w:left="2820" w:hanging="480"/>
      </w:pPr>
      <w:rPr>
        <w:rFonts w:hint="default" w:ascii="Wingdings" w:hAnsi="Wingdings"/>
      </w:rPr>
    </w:lvl>
    <w:lvl w:ilvl="5" w:tentative="0">
      <w:start w:val="1"/>
      <w:numFmt w:val="bullet"/>
      <w:lvlText w:val=""/>
      <w:lvlJc w:val="left"/>
      <w:pPr>
        <w:ind w:left="3300" w:hanging="480"/>
      </w:pPr>
      <w:rPr>
        <w:rFonts w:hint="default" w:ascii="Wingdings" w:hAnsi="Wingdings"/>
      </w:rPr>
    </w:lvl>
    <w:lvl w:ilvl="6" w:tentative="0">
      <w:start w:val="1"/>
      <w:numFmt w:val="bullet"/>
      <w:lvlText w:val=""/>
      <w:lvlJc w:val="left"/>
      <w:pPr>
        <w:ind w:left="3780" w:hanging="480"/>
      </w:pPr>
      <w:rPr>
        <w:rFonts w:hint="default" w:ascii="Wingdings" w:hAnsi="Wingdings"/>
      </w:rPr>
    </w:lvl>
    <w:lvl w:ilvl="7" w:tentative="0">
      <w:start w:val="1"/>
      <w:numFmt w:val="bullet"/>
      <w:lvlText w:val=""/>
      <w:lvlJc w:val="left"/>
      <w:pPr>
        <w:ind w:left="4260" w:hanging="480"/>
      </w:pPr>
      <w:rPr>
        <w:rFonts w:hint="default" w:ascii="Wingdings" w:hAnsi="Wingdings"/>
      </w:rPr>
    </w:lvl>
    <w:lvl w:ilvl="8" w:tentative="0">
      <w:start w:val="1"/>
      <w:numFmt w:val="bullet"/>
      <w:lvlText w:val=""/>
      <w:lvlJc w:val="left"/>
      <w:pPr>
        <w:ind w:left="4740" w:hanging="480"/>
      </w:pPr>
      <w:rPr>
        <w:rFonts w:hint="default" w:ascii="Wingdings" w:hAnsi="Wingdings"/>
      </w:rPr>
    </w:lvl>
  </w:abstractNum>
  <w:abstractNum w:abstractNumId="11">
    <w:nsid w:val="70146DC0"/>
    <w:multiLevelType w:val="multilevel"/>
    <w:tmpl w:val="70146DC0"/>
    <w:lvl w:ilvl="0" w:tentative="0">
      <w:start w:val="1"/>
      <w:numFmt w:val="bullet"/>
      <w:pStyle w:val="3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1232E3"/>
    <w:multiLevelType w:val="multilevel"/>
    <w:tmpl w:val="7B1232E3"/>
    <w:lvl w:ilvl="0" w:tentative="0">
      <w:start w:val="4089"/>
      <w:numFmt w:val="bullet"/>
      <w:lvlText w:val="•"/>
      <w:lvlJc w:val="left"/>
      <w:pPr>
        <w:ind w:left="4422" w:hanging="420"/>
      </w:pPr>
      <w:rPr>
        <w:rFonts w:hint="default" w:ascii="Arial" w:hAnsi="Arial"/>
      </w:rPr>
    </w:lvl>
    <w:lvl w:ilvl="1" w:tentative="0">
      <w:start w:val="1"/>
      <w:numFmt w:val="bullet"/>
      <w:lvlText w:val=""/>
      <w:lvlJc w:val="left"/>
      <w:pPr>
        <w:ind w:left="4842" w:hanging="420"/>
      </w:pPr>
      <w:rPr>
        <w:rFonts w:hint="default" w:ascii="Wingdings" w:hAnsi="Wingdings"/>
      </w:rPr>
    </w:lvl>
    <w:lvl w:ilvl="2" w:tentative="0">
      <w:start w:val="1"/>
      <w:numFmt w:val="bullet"/>
      <w:lvlText w:val=""/>
      <w:lvlJc w:val="left"/>
      <w:pPr>
        <w:ind w:left="5262" w:hanging="420"/>
      </w:pPr>
      <w:rPr>
        <w:rFonts w:hint="default" w:ascii="Wingdings" w:hAnsi="Wingdings"/>
      </w:rPr>
    </w:lvl>
    <w:lvl w:ilvl="3" w:tentative="0">
      <w:start w:val="1"/>
      <w:numFmt w:val="bullet"/>
      <w:lvlText w:val=""/>
      <w:lvlJc w:val="left"/>
      <w:pPr>
        <w:ind w:left="5682" w:hanging="420"/>
      </w:pPr>
      <w:rPr>
        <w:rFonts w:hint="default" w:ascii="Wingdings" w:hAnsi="Wingdings"/>
      </w:rPr>
    </w:lvl>
    <w:lvl w:ilvl="4" w:tentative="0">
      <w:start w:val="1"/>
      <w:numFmt w:val="bullet"/>
      <w:lvlText w:val=""/>
      <w:lvlJc w:val="left"/>
      <w:pPr>
        <w:ind w:left="6102" w:hanging="420"/>
      </w:pPr>
      <w:rPr>
        <w:rFonts w:hint="default" w:ascii="Wingdings" w:hAnsi="Wingdings"/>
      </w:rPr>
    </w:lvl>
    <w:lvl w:ilvl="5" w:tentative="0">
      <w:start w:val="1"/>
      <w:numFmt w:val="bullet"/>
      <w:lvlText w:val=""/>
      <w:lvlJc w:val="left"/>
      <w:pPr>
        <w:ind w:left="6522" w:hanging="420"/>
      </w:pPr>
      <w:rPr>
        <w:rFonts w:hint="default" w:ascii="Wingdings" w:hAnsi="Wingdings"/>
      </w:rPr>
    </w:lvl>
    <w:lvl w:ilvl="6" w:tentative="0">
      <w:start w:val="1"/>
      <w:numFmt w:val="bullet"/>
      <w:lvlText w:val=""/>
      <w:lvlJc w:val="left"/>
      <w:pPr>
        <w:ind w:left="6942" w:hanging="420"/>
      </w:pPr>
      <w:rPr>
        <w:rFonts w:hint="default" w:ascii="Wingdings" w:hAnsi="Wingdings"/>
      </w:rPr>
    </w:lvl>
    <w:lvl w:ilvl="7" w:tentative="0">
      <w:start w:val="1"/>
      <w:numFmt w:val="bullet"/>
      <w:lvlText w:val=""/>
      <w:lvlJc w:val="left"/>
      <w:pPr>
        <w:ind w:left="7362" w:hanging="420"/>
      </w:pPr>
      <w:rPr>
        <w:rFonts w:hint="default" w:ascii="Wingdings" w:hAnsi="Wingdings"/>
      </w:rPr>
    </w:lvl>
    <w:lvl w:ilvl="8" w:tentative="0">
      <w:start w:val="1"/>
      <w:numFmt w:val="bullet"/>
      <w:lvlText w:val=""/>
      <w:lvlJc w:val="left"/>
      <w:pPr>
        <w:ind w:left="7782" w:hanging="420"/>
      </w:pPr>
      <w:rPr>
        <w:rFonts w:hint="default" w:ascii="Wingdings" w:hAnsi="Wingdings"/>
      </w:rPr>
    </w:lvl>
  </w:abstractNum>
  <w:abstractNum w:abstractNumId="13">
    <w:nsid w:val="7BC330F5"/>
    <w:multiLevelType w:val="multilevel"/>
    <w:tmpl w:val="7BC330F5"/>
    <w:lvl w:ilvl="0" w:tentative="0">
      <w:start w:val="1"/>
      <w:numFmt w:val="bullet"/>
      <w:pStyle w:val="7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E932647"/>
    <w:multiLevelType w:val="multilevel"/>
    <w:tmpl w:val="7E932647"/>
    <w:lvl w:ilvl="0" w:tentative="0">
      <w:start w:val="3"/>
      <w:numFmt w:val="bullet"/>
      <w:lvlText w:val="-"/>
      <w:lvlJc w:val="left"/>
      <w:pPr>
        <w:ind w:left="3516" w:hanging="420"/>
      </w:pPr>
      <w:rPr>
        <w:rFonts w:hint="default" w:ascii="Times New Roman" w:hAnsi="Times New Roman" w:cs="Times New Roman" w:eastAsiaTheme="minorEastAsia"/>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num w:numId="1">
    <w:abstractNumId w:val="11"/>
  </w:num>
  <w:num w:numId="2">
    <w:abstractNumId w:val="8"/>
  </w:num>
  <w:num w:numId="3">
    <w:abstractNumId w:val="4"/>
  </w:num>
  <w:num w:numId="4">
    <w:abstractNumId w:val="6"/>
  </w:num>
  <w:num w:numId="5">
    <w:abstractNumId w:val="13"/>
  </w:num>
  <w:num w:numId="6">
    <w:abstractNumId w:val="9"/>
  </w:num>
  <w:num w:numId="7">
    <w:abstractNumId w:val="10"/>
  </w:num>
  <w:num w:numId="8">
    <w:abstractNumId w:val="14"/>
  </w:num>
  <w:num w:numId="9">
    <w:abstractNumId w:val="0"/>
  </w:num>
  <w:num w:numId="10">
    <w:abstractNumId w:val="2"/>
  </w:num>
  <w:num w:numId="11">
    <w:abstractNumId w:val="12"/>
  </w:num>
  <w:num w:numId="12">
    <w:abstractNumId w:val="3"/>
  </w:num>
  <w:num w:numId="13">
    <w:abstractNumId w:val="7"/>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F27DEF"/>
    <w:rsid w:val="000027C5"/>
    <w:rsid w:val="0000335F"/>
    <w:rsid w:val="00011B0D"/>
    <w:rsid w:val="000120C6"/>
    <w:rsid w:val="00012750"/>
    <w:rsid w:val="00013457"/>
    <w:rsid w:val="00016540"/>
    <w:rsid w:val="00017785"/>
    <w:rsid w:val="00017896"/>
    <w:rsid w:val="0002471F"/>
    <w:rsid w:val="00025AA9"/>
    <w:rsid w:val="0002775D"/>
    <w:rsid w:val="00031DD6"/>
    <w:rsid w:val="0003381B"/>
    <w:rsid w:val="00034A37"/>
    <w:rsid w:val="00035FD5"/>
    <w:rsid w:val="00040482"/>
    <w:rsid w:val="00040EEB"/>
    <w:rsid w:val="00041981"/>
    <w:rsid w:val="00042035"/>
    <w:rsid w:val="00044B71"/>
    <w:rsid w:val="00052298"/>
    <w:rsid w:val="00053687"/>
    <w:rsid w:val="000601BE"/>
    <w:rsid w:val="00060F13"/>
    <w:rsid w:val="000643E2"/>
    <w:rsid w:val="000646E5"/>
    <w:rsid w:val="00065292"/>
    <w:rsid w:val="000659E3"/>
    <w:rsid w:val="000678AC"/>
    <w:rsid w:val="00073449"/>
    <w:rsid w:val="0007486D"/>
    <w:rsid w:val="00075D92"/>
    <w:rsid w:val="00080EAB"/>
    <w:rsid w:val="00081D7E"/>
    <w:rsid w:val="00083A54"/>
    <w:rsid w:val="00084541"/>
    <w:rsid w:val="00092777"/>
    <w:rsid w:val="0009374C"/>
    <w:rsid w:val="000A041A"/>
    <w:rsid w:val="000A31CE"/>
    <w:rsid w:val="000A7BEC"/>
    <w:rsid w:val="000B1A52"/>
    <w:rsid w:val="000B238C"/>
    <w:rsid w:val="000B7EDA"/>
    <w:rsid w:val="000D07FD"/>
    <w:rsid w:val="000D0C01"/>
    <w:rsid w:val="000D113E"/>
    <w:rsid w:val="000D2883"/>
    <w:rsid w:val="000E0420"/>
    <w:rsid w:val="000E13BC"/>
    <w:rsid w:val="000E145B"/>
    <w:rsid w:val="000E2FD7"/>
    <w:rsid w:val="000F2AEB"/>
    <w:rsid w:val="000F3C0C"/>
    <w:rsid w:val="000F41FE"/>
    <w:rsid w:val="000F68FB"/>
    <w:rsid w:val="000F7038"/>
    <w:rsid w:val="00106F79"/>
    <w:rsid w:val="001103B8"/>
    <w:rsid w:val="001115A4"/>
    <w:rsid w:val="00112602"/>
    <w:rsid w:val="00116B66"/>
    <w:rsid w:val="001213E0"/>
    <w:rsid w:val="001255C1"/>
    <w:rsid w:val="00132488"/>
    <w:rsid w:val="001328CD"/>
    <w:rsid w:val="00132DED"/>
    <w:rsid w:val="00133A6E"/>
    <w:rsid w:val="00134161"/>
    <w:rsid w:val="00137393"/>
    <w:rsid w:val="00140BFA"/>
    <w:rsid w:val="00141071"/>
    <w:rsid w:val="001410C0"/>
    <w:rsid w:val="001412BA"/>
    <w:rsid w:val="001419DF"/>
    <w:rsid w:val="00142134"/>
    <w:rsid w:val="00142F43"/>
    <w:rsid w:val="001515F2"/>
    <w:rsid w:val="00152BD9"/>
    <w:rsid w:val="00163925"/>
    <w:rsid w:val="00170D71"/>
    <w:rsid w:val="00177B2A"/>
    <w:rsid w:val="0018324D"/>
    <w:rsid w:val="00187B86"/>
    <w:rsid w:val="00193DC8"/>
    <w:rsid w:val="001968FF"/>
    <w:rsid w:val="00197E54"/>
    <w:rsid w:val="001A00E3"/>
    <w:rsid w:val="001A28E4"/>
    <w:rsid w:val="001A2B5C"/>
    <w:rsid w:val="001A4489"/>
    <w:rsid w:val="001B01DE"/>
    <w:rsid w:val="001B1210"/>
    <w:rsid w:val="001B396C"/>
    <w:rsid w:val="001C1559"/>
    <w:rsid w:val="001C18F4"/>
    <w:rsid w:val="001C5026"/>
    <w:rsid w:val="001D2D17"/>
    <w:rsid w:val="001D4097"/>
    <w:rsid w:val="001D5703"/>
    <w:rsid w:val="001D69B1"/>
    <w:rsid w:val="001E6790"/>
    <w:rsid w:val="001F6543"/>
    <w:rsid w:val="001F66EF"/>
    <w:rsid w:val="00202A2D"/>
    <w:rsid w:val="00202D70"/>
    <w:rsid w:val="00202E0E"/>
    <w:rsid w:val="002042B8"/>
    <w:rsid w:val="002043CC"/>
    <w:rsid w:val="00204555"/>
    <w:rsid w:val="00205738"/>
    <w:rsid w:val="00206D61"/>
    <w:rsid w:val="002074A5"/>
    <w:rsid w:val="002129CA"/>
    <w:rsid w:val="00215471"/>
    <w:rsid w:val="0021657C"/>
    <w:rsid w:val="00221DF6"/>
    <w:rsid w:val="00225CC2"/>
    <w:rsid w:val="00230C02"/>
    <w:rsid w:val="002372AF"/>
    <w:rsid w:val="0024011B"/>
    <w:rsid w:val="00242E8E"/>
    <w:rsid w:val="00243E66"/>
    <w:rsid w:val="0024704B"/>
    <w:rsid w:val="00250558"/>
    <w:rsid w:val="00252A64"/>
    <w:rsid w:val="00257FDE"/>
    <w:rsid w:val="00260224"/>
    <w:rsid w:val="002602A4"/>
    <w:rsid w:val="002608F1"/>
    <w:rsid w:val="00260DBD"/>
    <w:rsid w:val="002634BD"/>
    <w:rsid w:val="00265A1A"/>
    <w:rsid w:val="002676B3"/>
    <w:rsid w:val="00267D25"/>
    <w:rsid w:val="002702C8"/>
    <w:rsid w:val="002725FF"/>
    <w:rsid w:val="00276220"/>
    <w:rsid w:val="00282DA8"/>
    <w:rsid w:val="00286A74"/>
    <w:rsid w:val="00295905"/>
    <w:rsid w:val="002965CB"/>
    <w:rsid w:val="00296B90"/>
    <w:rsid w:val="002A4257"/>
    <w:rsid w:val="002A6F92"/>
    <w:rsid w:val="002A7B1B"/>
    <w:rsid w:val="002B1B7A"/>
    <w:rsid w:val="002B200A"/>
    <w:rsid w:val="002B389B"/>
    <w:rsid w:val="002B6A5F"/>
    <w:rsid w:val="002C0FF3"/>
    <w:rsid w:val="002C1A21"/>
    <w:rsid w:val="002C2F28"/>
    <w:rsid w:val="002C5E6A"/>
    <w:rsid w:val="002C6967"/>
    <w:rsid w:val="002D157C"/>
    <w:rsid w:val="002D15E8"/>
    <w:rsid w:val="002D3B10"/>
    <w:rsid w:val="002D4F5F"/>
    <w:rsid w:val="002E0566"/>
    <w:rsid w:val="002E21F9"/>
    <w:rsid w:val="002E2395"/>
    <w:rsid w:val="002E2839"/>
    <w:rsid w:val="002E47C0"/>
    <w:rsid w:val="002E6792"/>
    <w:rsid w:val="002F448F"/>
    <w:rsid w:val="002F486E"/>
    <w:rsid w:val="003006F0"/>
    <w:rsid w:val="00301562"/>
    <w:rsid w:val="00301C2E"/>
    <w:rsid w:val="00301D90"/>
    <w:rsid w:val="00304F34"/>
    <w:rsid w:val="0031369F"/>
    <w:rsid w:val="00323B9C"/>
    <w:rsid w:val="00323EBD"/>
    <w:rsid w:val="003247D5"/>
    <w:rsid w:val="00326A40"/>
    <w:rsid w:val="0033159B"/>
    <w:rsid w:val="00331AE8"/>
    <w:rsid w:val="00332073"/>
    <w:rsid w:val="00332E68"/>
    <w:rsid w:val="00336081"/>
    <w:rsid w:val="003447B9"/>
    <w:rsid w:val="0034632B"/>
    <w:rsid w:val="00346A20"/>
    <w:rsid w:val="00351EF1"/>
    <w:rsid w:val="00356320"/>
    <w:rsid w:val="00357F92"/>
    <w:rsid w:val="0036009B"/>
    <w:rsid w:val="003603AB"/>
    <w:rsid w:val="0036212F"/>
    <w:rsid w:val="0036222F"/>
    <w:rsid w:val="00366B88"/>
    <w:rsid w:val="003674AD"/>
    <w:rsid w:val="00370E82"/>
    <w:rsid w:val="00371384"/>
    <w:rsid w:val="00373533"/>
    <w:rsid w:val="00373902"/>
    <w:rsid w:val="00374822"/>
    <w:rsid w:val="00375DB8"/>
    <w:rsid w:val="00377D44"/>
    <w:rsid w:val="0038003B"/>
    <w:rsid w:val="00381A3B"/>
    <w:rsid w:val="00384EBD"/>
    <w:rsid w:val="00393FBB"/>
    <w:rsid w:val="003964E3"/>
    <w:rsid w:val="003A0520"/>
    <w:rsid w:val="003A241F"/>
    <w:rsid w:val="003A4160"/>
    <w:rsid w:val="003B0BF5"/>
    <w:rsid w:val="003B1BD2"/>
    <w:rsid w:val="003B1C7E"/>
    <w:rsid w:val="003B513A"/>
    <w:rsid w:val="003B665F"/>
    <w:rsid w:val="003B775C"/>
    <w:rsid w:val="003C0BBA"/>
    <w:rsid w:val="003C372B"/>
    <w:rsid w:val="003C3C63"/>
    <w:rsid w:val="003C447D"/>
    <w:rsid w:val="003C476D"/>
    <w:rsid w:val="003D0612"/>
    <w:rsid w:val="003D2E5D"/>
    <w:rsid w:val="003D34D0"/>
    <w:rsid w:val="003D7422"/>
    <w:rsid w:val="003E1B6C"/>
    <w:rsid w:val="003F0FD4"/>
    <w:rsid w:val="003F155B"/>
    <w:rsid w:val="003F1596"/>
    <w:rsid w:val="003F3529"/>
    <w:rsid w:val="00405A3E"/>
    <w:rsid w:val="00407B7E"/>
    <w:rsid w:val="00411A7D"/>
    <w:rsid w:val="00411CA3"/>
    <w:rsid w:val="004207FA"/>
    <w:rsid w:val="00426187"/>
    <w:rsid w:val="004332F0"/>
    <w:rsid w:val="00433CE1"/>
    <w:rsid w:val="00434FF7"/>
    <w:rsid w:val="0043585C"/>
    <w:rsid w:val="004358C7"/>
    <w:rsid w:val="00435F62"/>
    <w:rsid w:val="004365D7"/>
    <w:rsid w:val="00444013"/>
    <w:rsid w:val="00454F85"/>
    <w:rsid w:val="00456C00"/>
    <w:rsid w:val="00462801"/>
    <w:rsid w:val="0046359B"/>
    <w:rsid w:val="004635A1"/>
    <w:rsid w:val="004656C7"/>
    <w:rsid w:val="00467117"/>
    <w:rsid w:val="00472C38"/>
    <w:rsid w:val="004730B7"/>
    <w:rsid w:val="00473313"/>
    <w:rsid w:val="004746B4"/>
    <w:rsid w:val="004838DA"/>
    <w:rsid w:val="004858A9"/>
    <w:rsid w:val="00486101"/>
    <w:rsid w:val="00490FD3"/>
    <w:rsid w:val="00491D57"/>
    <w:rsid w:val="00492ADA"/>
    <w:rsid w:val="004A7217"/>
    <w:rsid w:val="004B2C52"/>
    <w:rsid w:val="004B3E95"/>
    <w:rsid w:val="004B573B"/>
    <w:rsid w:val="004B68C0"/>
    <w:rsid w:val="004C00DC"/>
    <w:rsid w:val="004C24F4"/>
    <w:rsid w:val="004D032A"/>
    <w:rsid w:val="004D1A72"/>
    <w:rsid w:val="004D2138"/>
    <w:rsid w:val="004D2F49"/>
    <w:rsid w:val="004D73F9"/>
    <w:rsid w:val="004E0FC9"/>
    <w:rsid w:val="004E276F"/>
    <w:rsid w:val="004E4114"/>
    <w:rsid w:val="004E4B4F"/>
    <w:rsid w:val="004E6F7A"/>
    <w:rsid w:val="004F1281"/>
    <w:rsid w:val="004F1E01"/>
    <w:rsid w:val="004F278B"/>
    <w:rsid w:val="004F2A94"/>
    <w:rsid w:val="004F782B"/>
    <w:rsid w:val="00505147"/>
    <w:rsid w:val="00511A16"/>
    <w:rsid w:val="00511B22"/>
    <w:rsid w:val="00513F13"/>
    <w:rsid w:val="00515EB0"/>
    <w:rsid w:val="005164A3"/>
    <w:rsid w:val="005259BF"/>
    <w:rsid w:val="005332A4"/>
    <w:rsid w:val="00535BC1"/>
    <w:rsid w:val="0053780F"/>
    <w:rsid w:val="0053795E"/>
    <w:rsid w:val="005379A0"/>
    <w:rsid w:val="00537E28"/>
    <w:rsid w:val="00543745"/>
    <w:rsid w:val="005458F4"/>
    <w:rsid w:val="00545F5D"/>
    <w:rsid w:val="00560EF7"/>
    <w:rsid w:val="00563B54"/>
    <w:rsid w:val="00564078"/>
    <w:rsid w:val="0056498E"/>
    <w:rsid w:val="00565070"/>
    <w:rsid w:val="00566E4D"/>
    <w:rsid w:val="00574AEE"/>
    <w:rsid w:val="00577735"/>
    <w:rsid w:val="00585AFE"/>
    <w:rsid w:val="00587B06"/>
    <w:rsid w:val="00593393"/>
    <w:rsid w:val="005A12A4"/>
    <w:rsid w:val="005A4152"/>
    <w:rsid w:val="005A5A4E"/>
    <w:rsid w:val="005A7F6F"/>
    <w:rsid w:val="005B1D67"/>
    <w:rsid w:val="005B3C76"/>
    <w:rsid w:val="005B7223"/>
    <w:rsid w:val="005C3A33"/>
    <w:rsid w:val="005C459C"/>
    <w:rsid w:val="005C5C1A"/>
    <w:rsid w:val="005D0BF5"/>
    <w:rsid w:val="005D3D0A"/>
    <w:rsid w:val="005D5B4F"/>
    <w:rsid w:val="005E0268"/>
    <w:rsid w:val="005E19FB"/>
    <w:rsid w:val="005E3241"/>
    <w:rsid w:val="005F161E"/>
    <w:rsid w:val="005F40F9"/>
    <w:rsid w:val="005F42C4"/>
    <w:rsid w:val="005F4908"/>
    <w:rsid w:val="005F6BA5"/>
    <w:rsid w:val="00600FFE"/>
    <w:rsid w:val="0060330B"/>
    <w:rsid w:val="00603971"/>
    <w:rsid w:val="00611D51"/>
    <w:rsid w:val="006201BB"/>
    <w:rsid w:val="006217F9"/>
    <w:rsid w:val="00621FA3"/>
    <w:rsid w:val="006260EE"/>
    <w:rsid w:val="006266E1"/>
    <w:rsid w:val="006306C6"/>
    <w:rsid w:val="00634B9B"/>
    <w:rsid w:val="00635D41"/>
    <w:rsid w:val="00643C5E"/>
    <w:rsid w:val="00644F83"/>
    <w:rsid w:val="00645064"/>
    <w:rsid w:val="00645B7F"/>
    <w:rsid w:val="00650550"/>
    <w:rsid w:val="006516FE"/>
    <w:rsid w:val="00652337"/>
    <w:rsid w:val="0065408C"/>
    <w:rsid w:val="00655C6D"/>
    <w:rsid w:val="00663A4E"/>
    <w:rsid w:val="006662A9"/>
    <w:rsid w:val="006665FE"/>
    <w:rsid w:val="00666759"/>
    <w:rsid w:val="00666E35"/>
    <w:rsid w:val="00674335"/>
    <w:rsid w:val="006770C9"/>
    <w:rsid w:val="0068126A"/>
    <w:rsid w:val="00681E71"/>
    <w:rsid w:val="00682A4B"/>
    <w:rsid w:val="00684C94"/>
    <w:rsid w:val="00687EDE"/>
    <w:rsid w:val="0069417B"/>
    <w:rsid w:val="0069751C"/>
    <w:rsid w:val="006A0CC5"/>
    <w:rsid w:val="006A359A"/>
    <w:rsid w:val="006A52B8"/>
    <w:rsid w:val="006A7CF2"/>
    <w:rsid w:val="006B2F9E"/>
    <w:rsid w:val="006B4319"/>
    <w:rsid w:val="006B4331"/>
    <w:rsid w:val="006B5E37"/>
    <w:rsid w:val="006C0FDC"/>
    <w:rsid w:val="006C3780"/>
    <w:rsid w:val="006E20FE"/>
    <w:rsid w:val="006E244B"/>
    <w:rsid w:val="006E3F5F"/>
    <w:rsid w:val="006E580F"/>
    <w:rsid w:val="006F18AA"/>
    <w:rsid w:val="006F2E76"/>
    <w:rsid w:val="006F331B"/>
    <w:rsid w:val="00700C5B"/>
    <w:rsid w:val="007024CF"/>
    <w:rsid w:val="00704CE7"/>
    <w:rsid w:val="007143A9"/>
    <w:rsid w:val="00714FAA"/>
    <w:rsid w:val="007171EF"/>
    <w:rsid w:val="007233E0"/>
    <w:rsid w:val="00723522"/>
    <w:rsid w:val="007245F0"/>
    <w:rsid w:val="0072568D"/>
    <w:rsid w:val="00726ED3"/>
    <w:rsid w:val="00731B67"/>
    <w:rsid w:val="00734FC9"/>
    <w:rsid w:val="0074075A"/>
    <w:rsid w:val="00740803"/>
    <w:rsid w:val="007418F9"/>
    <w:rsid w:val="00742137"/>
    <w:rsid w:val="00742ECD"/>
    <w:rsid w:val="00743438"/>
    <w:rsid w:val="00745D27"/>
    <w:rsid w:val="00747418"/>
    <w:rsid w:val="00750219"/>
    <w:rsid w:val="0076731E"/>
    <w:rsid w:val="0077643D"/>
    <w:rsid w:val="00776C8D"/>
    <w:rsid w:val="00777354"/>
    <w:rsid w:val="0078303B"/>
    <w:rsid w:val="00787A42"/>
    <w:rsid w:val="00790977"/>
    <w:rsid w:val="00792E3E"/>
    <w:rsid w:val="0079340B"/>
    <w:rsid w:val="00795D4C"/>
    <w:rsid w:val="00797C1D"/>
    <w:rsid w:val="007A1D77"/>
    <w:rsid w:val="007A2770"/>
    <w:rsid w:val="007A5413"/>
    <w:rsid w:val="007B1C7A"/>
    <w:rsid w:val="007B448C"/>
    <w:rsid w:val="007C315C"/>
    <w:rsid w:val="007C525B"/>
    <w:rsid w:val="007D088F"/>
    <w:rsid w:val="007D24DF"/>
    <w:rsid w:val="007D64EB"/>
    <w:rsid w:val="007D763F"/>
    <w:rsid w:val="007E4855"/>
    <w:rsid w:val="007F6C08"/>
    <w:rsid w:val="008032FE"/>
    <w:rsid w:val="00804395"/>
    <w:rsid w:val="008103FD"/>
    <w:rsid w:val="00816105"/>
    <w:rsid w:val="00824DFB"/>
    <w:rsid w:val="008256E7"/>
    <w:rsid w:val="0083068E"/>
    <w:rsid w:val="008308F7"/>
    <w:rsid w:val="00834927"/>
    <w:rsid w:val="00841016"/>
    <w:rsid w:val="00843B66"/>
    <w:rsid w:val="00844ED1"/>
    <w:rsid w:val="00845CDA"/>
    <w:rsid w:val="00847911"/>
    <w:rsid w:val="00851767"/>
    <w:rsid w:val="00853654"/>
    <w:rsid w:val="0085629D"/>
    <w:rsid w:val="0085694B"/>
    <w:rsid w:val="00860FDE"/>
    <w:rsid w:val="00861489"/>
    <w:rsid w:val="00861B61"/>
    <w:rsid w:val="008638E2"/>
    <w:rsid w:val="0086568E"/>
    <w:rsid w:val="00876F43"/>
    <w:rsid w:val="00880C06"/>
    <w:rsid w:val="00885DDE"/>
    <w:rsid w:val="00890880"/>
    <w:rsid w:val="0089146F"/>
    <w:rsid w:val="008919A8"/>
    <w:rsid w:val="00892A21"/>
    <w:rsid w:val="0089386C"/>
    <w:rsid w:val="008942DD"/>
    <w:rsid w:val="008A2DF1"/>
    <w:rsid w:val="008A4256"/>
    <w:rsid w:val="008B06F2"/>
    <w:rsid w:val="008B19EF"/>
    <w:rsid w:val="008B3FAF"/>
    <w:rsid w:val="008B5FE7"/>
    <w:rsid w:val="008B6830"/>
    <w:rsid w:val="008B795E"/>
    <w:rsid w:val="008C052E"/>
    <w:rsid w:val="008C0678"/>
    <w:rsid w:val="008D2B30"/>
    <w:rsid w:val="008D33FE"/>
    <w:rsid w:val="008E064D"/>
    <w:rsid w:val="008E1CA4"/>
    <w:rsid w:val="008E1D32"/>
    <w:rsid w:val="008E1FC3"/>
    <w:rsid w:val="008E36BB"/>
    <w:rsid w:val="008F085B"/>
    <w:rsid w:val="008F0C4F"/>
    <w:rsid w:val="008F32A6"/>
    <w:rsid w:val="008F32C6"/>
    <w:rsid w:val="009100BB"/>
    <w:rsid w:val="00913B37"/>
    <w:rsid w:val="009162B8"/>
    <w:rsid w:val="00916C78"/>
    <w:rsid w:val="00921BD4"/>
    <w:rsid w:val="0093059A"/>
    <w:rsid w:val="00931994"/>
    <w:rsid w:val="0093201B"/>
    <w:rsid w:val="00932A84"/>
    <w:rsid w:val="00935BF3"/>
    <w:rsid w:val="009362A2"/>
    <w:rsid w:val="00937A2B"/>
    <w:rsid w:val="00937EE7"/>
    <w:rsid w:val="0094169A"/>
    <w:rsid w:val="00942D9F"/>
    <w:rsid w:val="00943410"/>
    <w:rsid w:val="009439EE"/>
    <w:rsid w:val="009500D5"/>
    <w:rsid w:val="0095341A"/>
    <w:rsid w:val="00965442"/>
    <w:rsid w:val="009654E4"/>
    <w:rsid w:val="009659E4"/>
    <w:rsid w:val="0097200C"/>
    <w:rsid w:val="00974953"/>
    <w:rsid w:val="00976555"/>
    <w:rsid w:val="00980F1B"/>
    <w:rsid w:val="00981555"/>
    <w:rsid w:val="00983E17"/>
    <w:rsid w:val="0098575F"/>
    <w:rsid w:val="009902B6"/>
    <w:rsid w:val="009910C6"/>
    <w:rsid w:val="0099140C"/>
    <w:rsid w:val="00991CC6"/>
    <w:rsid w:val="00994FFA"/>
    <w:rsid w:val="00995FF1"/>
    <w:rsid w:val="009974AE"/>
    <w:rsid w:val="009A2A62"/>
    <w:rsid w:val="009A33D5"/>
    <w:rsid w:val="009B0CE6"/>
    <w:rsid w:val="009B296A"/>
    <w:rsid w:val="009B2D33"/>
    <w:rsid w:val="009B42A5"/>
    <w:rsid w:val="009C0328"/>
    <w:rsid w:val="009D0259"/>
    <w:rsid w:val="009D1374"/>
    <w:rsid w:val="009D2C25"/>
    <w:rsid w:val="009D5B78"/>
    <w:rsid w:val="009D5BB8"/>
    <w:rsid w:val="009E0001"/>
    <w:rsid w:val="009E019A"/>
    <w:rsid w:val="009E36E8"/>
    <w:rsid w:val="009E53ED"/>
    <w:rsid w:val="009E6C8A"/>
    <w:rsid w:val="009F1698"/>
    <w:rsid w:val="009F3301"/>
    <w:rsid w:val="009F7762"/>
    <w:rsid w:val="00A000BE"/>
    <w:rsid w:val="00A0019F"/>
    <w:rsid w:val="00A01820"/>
    <w:rsid w:val="00A01F06"/>
    <w:rsid w:val="00A03D38"/>
    <w:rsid w:val="00A0453D"/>
    <w:rsid w:val="00A14648"/>
    <w:rsid w:val="00A158CD"/>
    <w:rsid w:val="00A21E40"/>
    <w:rsid w:val="00A2446D"/>
    <w:rsid w:val="00A26443"/>
    <w:rsid w:val="00A35C27"/>
    <w:rsid w:val="00A3680A"/>
    <w:rsid w:val="00A404B9"/>
    <w:rsid w:val="00A40875"/>
    <w:rsid w:val="00A43764"/>
    <w:rsid w:val="00A4598C"/>
    <w:rsid w:val="00A45C8B"/>
    <w:rsid w:val="00A53016"/>
    <w:rsid w:val="00A54DCA"/>
    <w:rsid w:val="00A55038"/>
    <w:rsid w:val="00A55BF3"/>
    <w:rsid w:val="00A5795E"/>
    <w:rsid w:val="00A63322"/>
    <w:rsid w:val="00A63BED"/>
    <w:rsid w:val="00A64BC4"/>
    <w:rsid w:val="00A65553"/>
    <w:rsid w:val="00A65678"/>
    <w:rsid w:val="00A65AEB"/>
    <w:rsid w:val="00A666D6"/>
    <w:rsid w:val="00A709F5"/>
    <w:rsid w:val="00A7111D"/>
    <w:rsid w:val="00A733A1"/>
    <w:rsid w:val="00A75615"/>
    <w:rsid w:val="00A75E6F"/>
    <w:rsid w:val="00A76C75"/>
    <w:rsid w:val="00A928E6"/>
    <w:rsid w:val="00A92C27"/>
    <w:rsid w:val="00A93F72"/>
    <w:rsid w:val="00A957DA"/>
    <w:rsid w:val="00AA0E9A"/>
    <w:rsid w:val="00AA199B"/>
    <w:rsid w:val="00AA2A35"/>
    <w:rsid w:val="00AA47F8"/>
    <w:rsid w:val="00AA65CA"/>
    <w:rsid w:val="00AA6943"/>
    <w:rsid w:val="00AA720F"/>
    <w:rsid w:val="00AA7993"/>
    <w:rsid w:val="00AB26AD"/>
    <w:rsid w:val="00AB3E77"/>
    <w:rsid w:val="00AB4256"/>
    <w:rsid w:val="00AB47A5"/>
    <w:rsid w:val="00AB4911"/>
    <w:rsid w:val="00AC083D"/>
    <w:rsid w:val="00AC2C34"/>
    <w:rsid w:val="00AC5D49"/>
    <w:rsid w:val="00AD08A7"/>
    <w:rsid w:val="00AD2017"/>
    <w:rsid w:val="00AE12CE"/>
    <w:rsid w:val="00AF14EF"/>
    <w:rsid w:val="00AF2B4C"/>
    <w:rsid w:val="00AF2DB3"/>
    <w:rsid w:val="00AF5033"/>
    <w:rsid w:val="00AF5047"/>
    <w:rsid w:val="00AF6509"/>
    <w:rsid w:val="00B0127F"/>
    <w:rsid w:val="00B05DEF"/>
    <w:rsid w:val="00B07748"/>
    <w:rsid w:val="00B12A7C"/>
    <w:rsid w:val="00B16BB2"/>
    <w:rsid w:val="00B17C3A"/>
    <w:rsid w:val="00B21A9E"/>
    <w:rsid w:val="00B24946"/>
    <w:rsid w:val="00B24B00"/>
    <w:rsid w:val="00B31440"/>
    <w:rsid w:val="00B31A30"/>
    <w:rsid w:val="00B32FD9"/>
    <w:rsid w:val="00B34E24"/>
    <w:rsid w:val="00B368B4"/>
    <w:rsid w:val="00B37E72"/>
    <w:rsid w:val="00B4206A"/>
    <w:rsid w:val="00B43CCB"/>
    <w:rsid w:val="00B500BA"/>
    <w:rsid w:val="00B51099"/>
    <w:rsid w:val="00B5529A"/>
    <w:rsid w:val="00B64BC1"/>
    <w:rsid w:val="00B67AD2"/>
    <w:rsid w:val="00B703C6"/>
    <w:rsid w:val="00B7053A"/>
    <w:rsid w:val="00B76631"/>
    <w:rsid w:val="00B856CF"/>
    <w:rsid w:val="00B86133"/>
    <w:rsid w:val="00B918B5"/>
    <w:rsid w:val="00B91DF5"/>
    <w:rsid w:val="00B936F8"/>
    <w:rsid w:val="00B94A8F"/>
    <w:rsid w:val="00B94F12"/>
    <w:rsid w:val="00BA2409"/>
    <w:rsid w:val="00BA6559"/>
    <w:rsid w:val="00BB2154"/>
    <w:rsid w:val="00BB2BD1"/>
    <w:rsid w:val="00BB3D05"/>
    <w:rsid w:val="00BB6413"/>
    <w:rsid w:val="00BB68A7"/>
    <w:rsid w:val="00BB7B8C"/>
    <w:rsid w:val="00BC30ED"/>
    <w:rsid w:val="00BC3555"/>
    <w:rsid w:val="00BC3674"/>
    <w:rsid w:val="00BC3AC3"/>
    <w:rsid w:val="00BC496E"/>
    <w:rsid w:val="00BC4C29"/>
    <w:rsid w:val="00BC6E4D"/>
    <w:rsid w:val="00BD5252"/>
    <w:rsid w:val="00BE01FD"/>
    <w:rsid w:val="00BE3299"/>
    <w:rsid w:val="00BF1F37"/>
    <w:rsid w:val="00BF35E3"/>
    <w:rsid w:val="00BF66F6"/>
    <w:rsid w:val="00C00919"/>
    <w:rsid w:val="00C013BE"/>
    <w:rsid w:val="00C01976"/>
    <w:rsid w:val="00C055DA"/>
    <w:rsid w:val="00C05B62"/>
    <w:rsid w:val="00C1258C"/>
    <w:rsid w:val="00C14C31"/>
    <w:rsid w:val="00C16539"/>
    <w:rsid w:val="00C17262"/>
    <w:rsid w:val="00C17565"/>
    <w:rsid w:val="00C20EA6"/>
    <w:rsid w:val="00C221BC"/>
    <w:rsid w:val="00C27566"/>
    <w:rsid w:val="00C32645"/>
    <w:rsid w:val="00C3694C"/>
    <w:rsid w:val="00C40515"/>
    <w:rsid w:val="00C41FCD"/>
    <w:rsid w:val="00C427FF"/>
    <w:rsid w:val="00C43B89"/>
    <w:rsid w:val="00C45A76"/>
    <w:rsid w:val="00C45E62"/>
    <w:rsid w:val="00C511B6"/>
    <w:rsid w:val="00C516DE"/>
    <w:rsid w:val="00C5178F"/>
    <w:rsid w:val="00C62823"/>
    <w:rsid w:val="00C65987"/>
    <w:rsid w:val="00C7240D"/>
    <w:rsid w:val="00C73115"/>
    <w:rsid w:val="00C733EE"/>
    <w:rsid w:val="00C74BB0"/>
    <w:rsid w:val="00C769AA"/>
    <w:rsid w:val="00C80A1F"/>
    <w:rsid w:val="00C83242"/>
    <w:rsid w:val="00C83D1B"/>
    <w:rsid w:val="00C85A1A"/>
    <w:rsid w:val="00C90FB5"/>
    <w:rsid w:val="00C947B7"/>
    <w:rsid w:val="00C94ED9"/>
    <w:rsid w:val="00C95780"/>
    <w:rsid w:val="00C9627E"/>
    <w:rsid w:val="00CA09C9"/>
    <w:rsid w:val="00CA5D3A"/>
    <w:rsid w:val="00CA76BA"/>
    <w:rsid w:val="00CA77AA"/>
    <w:rsid w:val="00CB1C6D"/>
    <w:rsid w:val="00CB340F"/>
    <w:rsid w:val="00CB377D"/>
    <w:rsid w:val="00CB4D5F"/>
    <w:rsid w:val="00CB5CE8"/>
    <w:rsid w:val="00CB74C2"/>
    <w:rsid w:val="00CB7C56"/>
    <w:rsid w:val="00CB7E93"/>
    <w:rsid w:val="00CC035D"/>
    <w:rsid w:val="00CC4FF2"/>
    <w:rsid w:val="00CC730D"/>
    <w:rsid w:val="00CD43A8"/>
    <w:rsid w:val="00CD55A2"/>
    <w:rsid w:val="00CD6739"/>
    <w:rsid w:val="00CE2405"/>
    <w:rsid w:val="00CE418A"/>
    <w:rsid w:val="00CF2D18"/>
    <w:rsid w:val="00D04639"/>
    <w:rsid w:val="00D12838"/>
    <w:rsid w:val="00D14B80"/>
    <w:rsid w:val="00D2192C"/>
    <w:rsid w:val="00D2219E"/>
    <w:rsid w:val="00D22BB0"/>
    <w:rsid w:val="00D26694"/>
    <w:rsid w:val="00D269AE"/>
    <w:rsid w:val="00D279AE"/>
    <w:rsid w:val="00D27BBE"/>
    <w:rsid w:val="00D34FFE"/>
    <w:rsid w:val="00D350C9"/>
    <w:rsid w:val="00D3549A"/>
    <w:rsid w:val="00D41FD2"/>
    <w:rsid w:val="00D4471B"/>
    <w:rsid w:val="00D459BE"/>
    <w:rsid w:val="00D523CD"/>
    <w:rsid w:val="00D5462F"/>
    <w:rsid w:val="00D55AAB"/>
    <w:rsid w:val="00D56FBC"/>
    <w:rsid w:val="00D60484"/>
    <w:rsid w:val="00D605DC"/>
    <w:rsid w:val="00D659AF"/>
    <w:rsid w:val="00D6601B"/>
    <w:rsid w:val="00D6619E"/>
    <w:rsid w:val="00D66434"/>
    <w:rsid w:val="00D67487"/>
    <w:rsid w:val="00D71009"/>
    <w:rsid w:val="00D76F2A"/>
    <w:rsid w:val="00D77E29"/>
    <w:rsid w:val="00D77FE0"/>
    <w:rsid w:val="00D80022"/>
    <w:rsid w:val="00D8645A"/>
    <w:rsid w:val="00D915B9"/>
    <w:rsid w:val="00D94F92"/>
    <w:rsid w:val="00DA0DBC"/>
    <w:rsid w:val="00DA15A2"/>
    <w:rsid w:val="00DA35C3"/>
    <w:rsid w:val="00DA480C"/>
    <w:rsid w:val="00DA5520"/>
    <w:rsid w:val="00DB0CB9"/>
    <w:rsid w:val="00DB3B67"/>
    <w:rsid w:val="00DB774A"/>
    <w:rsid w:val="00DC0C25"/>
    <w:rsid w:val="00DC1516"/>
    <w:rsid w:val="00DC4870"/>
    <w:rsid w:val="00DC6643"/>
    <w:rsid w:val="00DC68FF"/>
    <w:rsid w:val="00DD441E"/>
    <w:rsid w:val="00DD4785"/>
    <w:rsid w:val="00DE367C"/>
    <w:rsid w:val="00DE5511"/>
    <w:rsid w:val="00DE5E4D"/>
    <w:rsid w:val="00DE6FEA"/>
    <w:rsid w:val="00DF49FB"/>
    <w:rsid w:val="00DF6E85"/>
    <w:rsid w:val="00E0036F"/>
    <w:rsid w:val="00E036EA"/>
    <w:rsid w:val="00E04065"/>
    <w:rsid w:val="00E04592"/>
    <w:rsid w:val="00E05714"/>
    <w:rsid w:val="00E211FD"/>
    <w:rsid w:val="00E22A08"/>
    <w:rsid w:val="00E24D20"/>
    <w:rsid w:val="00E25777"/>
    <w:rsid w:val="00E26067"/>
    <w:rsid w:val="00E30021"/>
    <w:rsid w:val="00E40F32"/>
    <w:rsid w:val="00E4345F"/>
    <w:rsid w:val="00E45632"/>
    <w:rsid w:val="00E46B04"/>
    <w:rsid w:val="00E51211"/>
    <w:rsid w:val="00E521DB"/>
    <w:rsid w:val="00E61570"/>
    <w:rsid w:val="00E6286E"/>
    <w:rsid w:val="00E6412B"/>
    <w:rsid w:val="00E64A9C"/>
    <w:rsid w:val="00E66F1D"/>
    <w:rsid w:val="00E7324B"/>
    <w:rsid w:val="00E75017"/>
    <w:rsid w:val="00E83701"/>
    <w:rsid w:val="00E8571A"/>
    <w:rsid w:val="00EA14BD"/>
    <w:rsid w:val="00EA4545"/>
    <w:rsid w:val="00EB0975"/>
    <w:rsid w:val="00EB0B5E"/>
    <w:rsid w:val="00EB5703"/>
    <w:rsid w:val="00EB5909"/>
    <w:rsid w:val="00EB662C"/>
    <w:rsid w:val="00EB7C3E"/>
    <w:rsid w:val="00EC35A3"/>
    <w:rsid w:val="00EC5666"/>
    <w:rsid w:val="00EC69F0"/>
    <w:rsid w:val="00ED0A6A"/>
    <w:rsid w:val="00ED0C70"/>
    <w:rsid w:val="00ED16A1"/>
    <w:rsid w:val="00ED2C69"/>
    <w:rsid w:val="00EE4074"/>
    <w:rsid w:val="00EE4383"/>
    <w:rsid w:val="00EF036E"/>
    <w:rsid w:val="00EF5175"/>
    <w:rsid w:val="00EF7D9B"/>
    <w:rsid w:val="00F0290A"/>
    <w:rsid w:val="00F0360B"/>
    <w:rsid w:val="00F04A3E"/>
    <w:rsid w:val="00F04BE2"/>
    <w:rsid w:val="00F07FA3"/>
    <w:rsid w:val="00F10052"/>
    <w:rsid w:val="00F12FBC"/>
    <w:rsid w:val="00F17C4E"/>
    <w:rsid w:val="00F20B70"/>
    <w:rsid w:val="00F23002"/>
    <w:rsid w:val="00F260E6"/>
    <w:rsid w:val="00F27D7A"/>
    <w:rsid w:val="00F27DEF"/>
    <w:rsid w:val="00F301DC"/>
    <w:rsid w:val="00F3124B"/>
    <w:rsid w:val="00F334FC"/>
    <w:rsid w:val="00F3473F"/>
    <w:rsid w:val="00F37998"/>
    <w:rsid w:val="00F4383F"/>
    <w:rsid w:val="00F454FD"/>
    <w:rsid w:val="00F4699B"/>
    <w:rsid w:val="00F53664"/>
    <w:rsid w:val="00F53A87"/>
    <w:rsid w:val="00F54169"/>
    <w:rsid w:val="00F56713"/>
    <w:rsid w:val="00F601E9"/>
    <w:rsid w:val="00F60927"/>
    <w:rsid w:val="00F70473"/>
    <w:rsid w:val="00F705A3"/>
    <w:rsid w:val="00F72750"/>
    <w:rsid w:val="00F7366D"/>
    <w:rsid w:val="00F76ABC"/>
    <w:rsid w:val="00F81D1F"/>
    <w:rsid w:val="00F85775"/>
    <w:rsid w:val="00F86A76"/>
    <w:rsid w:val="00F87AF0"/>
    <w:rsid w:val="00F90577"/>
    <w:rsid w:val="00F9167B"/>
    <w:rsid w:val="00FA0878"/>
    <w:rsid w:val="00FA44DA"/>
    <w:rsid w:val="00FB02C3"/>
    <w:rsid w:val="00FB277E"/>
    <w:rsid w:val="00FB7F2C"/>
    <w:rsid w:val="00FC0014"/>
    <w:rsid w:val="00FC1D50"/>
    <w:rsid w:val="00FC4C27"/>
    <w:rsid w:val="00FC4D07"/>
    <w:rsid w:val="00FC549F"/>
    <w:rsid w:val="00FC7089"/>
    <w:rsid w:val="00FD1AD7"/>
    <w:rsid w:val="00FE052F"/>
    <w:rsid w:val="00FE0E7E"/>
    <w:rsid w:val="00FF2ECA"/>
    <w:rsid w:val="00FF4B16"/>
    <w:rsid w:val="00FF6963"/>
    <w:rsid w:val="00FF79A5"/>
    <w:rsid w:val="013D0B24"/>
    <w:rsid w:val="01944054"/>
    <w:rsid w:val="0216715F"/>
    <w:rsid w:val="02F56D74"/>
    <w:rsid w:val="034A70C0"/>
    <w:rsid w:val="037203C5"/>
    <w:rsid w:val="03822CFE"/>
    <w:rsid w:val="069114AA"/>
    <w:rsid w:val="069B7F87"/>
    <w:rsid w:val="07E07FF3"/>
    <w:rsid w:val="081D2FF5"/>
    <w:rsid w:val="0D847741"/>
    <w:rsid w:val="0DDF2AFB"/>
    <w:rsid w:val="0F172931"/>
    <w:rsid w:val="11074842"/>
    <w:rsid w:val="12B409FA"/>
    <w:rsid w:val="12D76496"/>
    <w:rsid w:val="13203999"/>
    <w:rsid w:val="13C04C78"/>
    <w:rsid w:val="18383533"/>
    <w:rsid w:val="1C026332"/>
    <w:rsid w:val="1DB16A30"/>
    <w:rsid w:val="1E8F7C25"/>
    <w:rsid w:val="206F41B2"/>
    <w:rsid w:val="214537B9"/>
    <w:rsid w:val="25115838"/>
    <w:rsid w:val="261B1957"/>
    <w:rsid w:val="26630315"/>
    <w:rsid w:val="29ED7341"/>
    <w:rsid w:val="2A6B4BE3"/>
    <w:rsid w:val="2AE65071"/>
    <w:rsid w:val="2C6903FA"/>
    <w:rsid w:val="2CCF6E6B"/>
    <w:rsid w:val="30252E4B"/>
    <w:rsid w:val="309B06AC"/>
    <w:rsid w:val="316E0D45"/>
    <w:rsid w:val="31F77B64"/>
    <w:rsid w:val="32943604"/>
    <w:rsid w:val="36DD557A"/>
    <w:rsid w:val="38120FFE"/>
    <w:rsid w:val="39904AD8"/>
    <w:rsid w:val="3A2F07E2"/>
    <w:rsid w:val="3AB42A96"/>
    <w:rsid w:val="3F740A45"/>
    <w:rsid w:val="4044666A"/>
    <w:rsid w:val="410C7C35"/>
    <w:rsid w:val="412F535C"/>
    <w:rsid w:val="4174159A"/>
    <w:rsid w:val="42274495"/>
    <w:rsid w:val="433A44AC"/>
    <w:rsid w:val="447119F7"/>
    <w:rsid w:val="4631143E"/>
    <w:rsid w:val="47A83982"/>
    <w:rsid w:val="47C87B80"/>
    <w:rsid w:val="484216E1"/>
    <w:rsid w:val="491C63D6"/>
    <w:rsid w:val="4A9638BC"/>
    <w:rsid w:val="4D744522"/>
    <w:rsid w:val="4F734876"/>
    <w:rsid w:val="4FF04118"/>
    <w:rsid w:val="50463D38"/>
    <w:rsid w:val="508036EE"/>
    <w:rsid w:val="512C414D"/>
    <w:rsid w:val="523D33A3"/>
    <w:rsid w:val="525F10E1"/>
    <w:rsid w:val="52EB0BC7"/>
    <w:rsid w:val="531E71EE"/>
    <w:rsid w:val="53FA37B7"/>
    <w:rsid w:val="5422682B"/>
    <w:rsid w:val="549E2395"/>
    <w:rsid w:val="54ED4399"/>
    <w:rsid w:val="54F00716"/>
    <w:rsid w:val="55B87486"/>
    <w:rsid w:val="55F935FB"/>
    <w:rsid w:val="5697709C"/>
    <w:rsid w:val="585D2567"/>
    <w:rsid w:val="58C82F81"/>
    <w:rsid w:val="59D0017F"/>
    <w:rsid w:val="5E4775F9"/>
    <w:rsid w:val="5E7D2608"/>
    <w:rsid w:val="5EFD5F0A"/>
    <w:rsid w:val="60C877DF"/>
    <w:rsid w:val="62255EA3"/>
    <w:rsid w:val="6243262D"/>
    <w:rsid w:val="63604CB9"/>
    <w:rsid w:val="63703643"/>
    <w:rsid w:val="63957059"/>
    <w:rsid w:val="642F125B"/>
    <w:rsid w:val="64852C29"/>
    <w:rsid w:val="65D11E9E"/>
    <w:rsid w:val="65F71905"/>
    <w:rsid w:val="66091638"/>
    <w:rsid w:val="66096DD1"/>
    <w:rsid w:val="661E407A"/>
    <w:rsid w:val="66CC2D91"/>
    <w:rsid w:val="68513FAB"/>
    <w:rsid w:val="6AF6662F"/>
    <w:rsid w:val="6CDE381E"/>
    <w:rsid w:val="6D2F5E28"/>
    <w:rsid w:val="72037883"/>
    <w:rsid w:val="72C07522"/>
    <w:rsid w:val="72C97E21"/>
    <w:rsid w:val="744D4DE6"/>
    <w:rsid w:val="74FD05BA"/>
    <w:rsid w:val="751D2A0A"/>
    <w:rsid w:val="78A0407E"/>
    <w:rsid w:val="78D95630"/>
    <w:rsid w:val="7A066163"/>
    <w:rsid w:val="7B892BA7"/>
    <w:rsid w:val="7BA07EF1"/>
    <w:rsid w:val="7C6453C2"/>
    <w:rsid w:val="7D48659B"/>
    <w:rsid w:val="7EDF1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link w:val="2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26"/>
    <w:qFormat/>
    <w:uiPriority w:val="0"/>
    <w:pPr>
      <w:pBdr>
        <w:top w:val="none" w:color="auto" w:sz="0" w:space="0"/>
      </w:pBdr>
      <w:spacing w:before="180"/>
      <w:outlineLvl w:val="1"/>
    </w:pPr>
    <w:rPr>
      <w:sz w:val="32"/>
    </w:rPr>
  </w:style>
  <w:style w:type="paragraph" w:styleId="4">
    <w:name w:val="heading 3"/>
    <w:basedOn w:val="1"/>
    <w:next w:val="1"/>
    <w:link w:val="3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7"/>
    <w:basedOn w:val="1"/>
    <w:next w:val="1"/>
    <w:link w:val="34"/>
    <w:semiHidden/>
    <w:unhideWhenUsed/>
    <w:qFormat/>
    <w:uiPriority w:val="9"/>
    <w:pPr>
      <w:keepNext/>
      <w:keepLines/>
      <w:spacing w:before="240" w:after="64" w:line="320" w:lineRule="auto"/>
      <w:outlineLvl w:val="6"/>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59"/>
    <w:qFormat/>
    <w:uiPriority w:val="0"/>
    <w:pPr>
      <w:widowControl w:val="0"/>
      <w:spacing w:after="0"/>
      <w:ind w:firstLine="420"/>
      <w:jc w:val="both"/>
    </w:pPr>
    <w:rPr>
      <w:kern w:val="2"/>
      <w:sz w:val="21"/>
      <w:lang w:eastAsia="zh-CN"/>
    </w:rPr>
  </w:style>
  <w:style w:type="paragraph" w:styleId="8">
    <w:name w:val="caption"/>
    <w:basedOn w:val="1"/>
    <w:next w:val="1"/>
    <w:link w:val="53"/>
    <w:qFormat/>
    <w:uiPriority w:val="0"/>
    <w:pPr>
      <w:spacing w:before="120" w:after="120"/>
    </w:pPr>
    <w:rPr>
      <w:b/>
    </w:rPr>
  </w:style>
  <w:style w:type="paragraph" w:styleId="9">
    <w:name w:val="annotation text"/>
    <w:basedOn w:val="1"/>
    <w:link w:val="61"/>
    <w:semiHidden/>
    <w:unhideWhenUsed/>
    <w:qFormat/>
    <w:uiPriority w:val="99"/>
    <w:pPr>
      <w:spacing w:after="0"/>
    </w:pPr>
    <w:rPr>
      <w:rFonts w:ascii="宋体" w:hAnsi="宋体" w:cs="宋体"/>
      <w:sz w:val="24"/>
      <w:szCs w:val="24"/>
      <w:lang w:eastAsia="zh-CN"/>
    </w:rPr>
  </w:style>
  <w:style w:type="paragraph" w:styleId="10">
    <w:name w:val="Body Text"/>
    <w:basedOn w:val="1"/>
    <w:link w:val="54"/>
    <w:qFormat/>
    <w:uiPriority w:val="0"/>
    <w:pPr>
      <w:spacing w:after="120"/>
    </w:pPr>
    <w:rPr>
      <w:rFonts w:eastAsia="Malgun Gothic"/>
    </w:rPr>
  </w:style>
  <w:style w:type="paragraph" w:styleId="11">
    <w:name w:val="List 2"/>
    <w:basedOn w:val="12"/>
    <w:semiHidden/>
    <w:unhideWhenUsed/>
    <w:qFormat/>
    <w:uiPriority w:val="99"/>
    <w:pPr>
      <w:spacing w:after="0"/>
      <w:ind w:left="100" w:leftChars="200" w:hanging="200" w:hangingChars="200"/>
      <w:contextualSpacing/>
    </w:pPr>
    <w:rPr>
      <w:rFonts w:ascii="宋体" w:hAnsi="宋体" w:cs="宋体"/>
      <w:sz w:val="24"/>
      <w:szCs w:val="24"/>
      <w:lang w:eastAsia="zh-CN"/>
    </w:rPr>
  </w:style>
  <w:style w:type="paragraph" w:styleId="12">
    <w:name w:val="List"/>
    <w:basedOn w:val="1"/>
    <w:semiHidden/>
    <w:unhideWhenUsed/>
    <w:qFormat/>
    <w:uiPriority w:val="99"/>
    <w:pPr>
      <w:ind w:left="200" w:hanging="200" w:hangingChars="200"/>
      <w:contextualSpacing/>
    </w:pPr>
  </w:style>
  <w:style w:type="paragraph" w:styleId="13">
    <w:name w:val="toc 5"/>
    <w:basedOn w:val="1"/>
    <w:next w:val="1"/>
    <w:unhideWhenUsed/>
    <w:qFormat/>
    <w:uiPriority w:val="39"/>
    <w:pPr>
      <w:spacing w:after="100" w:line="259" w:lineRule="auto"/>
    </w:pPr>
    <w:rPr>
      <w:rFonts w:eastAsiaTheme="minorEastAsia" w:cstheme="minorBidi"/>
      <w:b/>
      <w:szCs w:val="22"/>
      <w:lang w:val="en-GB"/>
    </w:rPr>
  </w:style>
  <w:style w:type="paragraph" w:styleId="14">
    <w:name w:val="Balloon Text"/>
    <w:basedOn w:val="1"/>
    <w:link w:val="47"/>
    <w:semiHidden/>
    <w:unhideWhenUsed/>
    <w:qFormat/>
    <w:uiPriority w:val="99"/>
    <w:pPr>
      <w:spacing w:after="0"/>
    </w:pPr>
    <w:rPr>
      <w:sz w:val="18"/>
      <w:szCs w:val="18"/>
    </w:rPr>
  </w:style>
  <w:style w:type="paragraph" w:styleId="15">
    <w:name w:val="footer"/>
    <w:basedOn w:val="16"/>
    <w:link w:val="27"/>
    <w:qFormat/>
    <w:uiPriority w:val="0"/>
    <w:pPr>
      <w:jc w:val="center"/>
    </w:pPr>
    <w:rPr>
      <w:i/>
    </w:rPr>
  </w:style>
  <w:style w:type="paragraph" w:styleId="16">
    <w:name w:val="header"/>
    <w:link w:val="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8">
    <w:name w:val="annotation subject"/>
    <w:basedOn w:val="9"/>
    <w:next w:val="9"/>
    <w:link w:val="62"/>
    <w:semiHidden/>
    <w:unhideWhenUsed/>
    <w:qFormat/>
    <w:uiPriority w:val="99"/>
    <w:rPr>
      <w:b/>
      <w:bCs/>
    </w:rPr>
  </w:style>
  <w:style w:type="table" w:styleId="20">
    <w:name w:val="Table Grid"/>
    <w:basedOn w:val="19"/>
    <w:qFormat/>
    <w:uiPriority w:val="3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yperlink"/>
    <w:qFormat/>
    <w:uiPriority w:val="99"/>
    <w:rPr>
      <w:color w:val="0563C1"/>
      <w:u w:val="single"/>
    </w:rPr>
  </w:style>
  <w:style w:type="character" w:styleId="24">
    <w:name w:val="annotation reference"/>
    <w:basedOn w:val="21"/>
    <w:semiHidden/>
    <w:unhideWhenUsed/>
    <w:qFormat/>
    <w:uiPriority w:val="99"/>
    <w:rPr>
      <w:sz w:val="21"/>
      <w:szCs w:val="21"/>
    </w:rPr>
  </w:style>
  <w:style w:type="character" w:customStyle="1" w:styleId="25">
    <w:name w:val="标题 1 Char"/>
    <w:basedOn w:val="21"/>
    <w:link w:val="2"/>
    <w:qFormat/>
    <w:uiPriority w:val="0"/>
    <w:rPr>
      <w:rFonts w:ascii="Arial" w:hAnsi="Arial" w:eastAsia="Times New Roman" w:cs="Times New Roman"/>
      <w:kern w:val="0"/>
      <w:sz w:val="36"/>
      <w:szCs w:val="20"/>
      <w:lang w:val="en-GB" w:eastAsia="en-US"/>
    </w:rPr>
  </w:style>
  <w:style w:type="character" w:customStyle="1" w:styleId="26">
    <w:name w:val="标题 2 Char"/>
    <w:basedOn w:val="21"/>
    <w:link w:val="3"/>
    <w:qFormat/>
    <w:uiPriority w:val="0"/>
    <w:rPr>
      <w:rFonts w:ascii="Arial" w:hAnsi="Arial" w:eastAsia="Times New Roman" w:cs="Times New Roman"/>
      <w:kern w:val="0"/>
      <w:sz w:val="32"/>
      <w:szCs w:val="20"/>
      <w:lang w:val="en-GB" w:eastAsia="en-US"/>
    </w:rPr>
  </w:style>
  <w:style w:type="character" w:customStyle="1" w:styleId="27">
    <w:name w:val="页脚 Char"/>
    <w:basedOn w:val="21"/>
    <w:link w:val="15"/>
    <w:qFormat/>
    <w:uiPriority w:val="0"/>
    <w:rPr>
      <w:rFonts w:ascii="Arial" w:hAnsi="Arial" w:eastAsia="Times New Roman" w:cs="Times New Roman"/>
      <w:b/>
      <w:i/>
      <w:kern w:val="0"/>
      <w:sz w:val="18"/>
      <w:szCs w:val="20"/>
      <w:lang w:val="en-GB" w:eastAsia="ja-JP"/>
    </w:rPr>
  </w:style>
  <w:style w:type="character" w:customStyle="1" w:styleId="28">
    <w:name w:val="页眉 Char"/>
    <w:basedOn w:val="21"/>
    <w:link w:val="16"/>
    <w:qFormat/>
    <w:uiPriority w:val="0"/>
    <w:rPr>
      <w:rFonts w:ascii="Arial" w:hAnsi="Arial" w:eastAsia="Times New Roman" w:cs="Times New Roman"/>
      <w:b/>
      <w:kern w:val="0"/>
      <w:sz w:val="18"/>
      <w:szCs w:val="20"/>
      <w:lang w:val="en-GB" w:eastAsia="ja-JP"/>
    </w:rPr>
  </w:style>
  <w:style w:type="paragraph" w:styleId="29">
    <w:name w:val="List Paragraph"/>
    <w:basedOn w:val="1"/>
    <w:link w:val="30"/>
    <w:qFormat/>
    <w:uiPriority w:val="99"/>
    <w:pPr>
      <w:ind w:left="720"/>
      <w:contextualSpacing/>
    </w:pPr>
  </w:style>
  <w:style w:type="character" w:customStyle="1" w:styleId="30">
    <w:name w:val="列出段落 Char"/>
    <w:link w:val="29"/>
    <w:qFormat/>
    <w:uiPriority w:val="99"/>
    <w:rPr>
      <w:rFonts w:ascii="Times New Roman" w:hAnsi="Times New Roman" w:eastAsia="宋体" w:cs="Times New Roman"/>
      <w:kern w:val="0"/>
      <w:sz w:val="20"/>
      <w:szCs w:val="20"/>
      <w:lang w:val="en-GB" w:eastAsia="en-US"/>
    </w:rPr>
  </w:style>
  <w:style w:type="paragraph" w:customStyle="1" w:styleId="31">
    <w:name w:val="Agreement"/>
    <w:basedOn w:val="1"/>
    <w:next w:val="1"/>
    <w:qFormat/>
    <w:uiPriority w:val="0"/>
    <w:pPr>
      <w:numPr>
        <w:ilvl w:val="0"/>
        <w:numId w:val="1"/>
      </w:numPr>
      <w:tabs>
        <w:tab w:val="left" w:pos="1619"/>
        <w:tab w:val="clear" w:pos="1352"/>
      </w:tabs>
      <w:spacing w:before="60" w:after="0"/>
      <w:ind w:left="1619"/>
    </w:pPr>
    <w:rPr>
      <w:rFonts w:ascii="Arial" w:hAnsi="Arial" w:eastAsia="MS Mincho"/>
      <w:b/>
      <w:szCs w:val="24"/>
      <w:lang w:eastAsia="en-GB"/>
    </w:rPr>
  </w:style>
  <w:style w:type="character" w:customStyle="1" w:styleId="32">
    <w:name w:val="列表段落 字符1"/>
    <w:qFormat/>
    <w:locked/>
    <w:uiPriority w:val="34"/>
    <w:rPr>
      <w:rFonts w:ascii="Times New Roman" w:hAnsi="Times New Roman"/>
      <w:lang w:val="en-GB" w:eastAsia="en-US"/>
    </w:rPr>
  </w:style>
  <w:style w:type="table" w:customStyle="1" w:styleId="33">
    <w:name w:val="TableGrid1"/>
    <w:basedOn w:val="19"/>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4">
    <w:name w:val="标题 7 Char"/>
    <w:basedOn w:val="21"/>
    <w:link w:val="6"/>
    <w:semiHidden/>
    <w:qFormat/>
    <w:uiPriority w:val="9"/>
    <w:rPr>
      <w:rFonts w:ascii="Times New Roman" w:hAnsi="Times New Roman" w:eastAsia="Times New Roman" w:cs="Times New Roman"/>
      <w:b/>
      <w:bCs/>
      <w:kern w:val="0"/>
      <w:sz w:val="24"/>
      <w:szCs w:val="24"/>
      <w:lang w:val="en-GB" w:eastAsia="en-US"/>
    </w:rPr>
  </w:style>
  <w:style w:type="paragraph" w:customStyle="1" w:styleId="35">
    <w:name w:val="文稿标题"/>
    <w:basedOn w:val="1"/>
    <w:qFormat/>
    <w:uiPriority w:val="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36">
    <w:name w:val="3GPP 正文"/>
    <w:basedOn w:val="1"/>
    <w:link w:val="37"/>
    <w:qFormat/>
    <w:uiPriority w:val="0"/>
    <w:rPr>
      <w:lang w:eastAsia="ja-JP"/>
    </w:rPr>
  </w:style>
  <w:style w:type="character" w:customStyle="1" w:styleId="37">
    <w:name w:val="3GPP 正文 Char"/>
    <w:link w:val="36"/>
    <w:qFormat/>
    <w:uiPriority w:val="0"/>
    <w:rPr>
      <w:rFonts w:ascii="Times New Roman" w:hAnsi="Times New Roman" w:eastAsia="宋体" w:cs="Times New Roman"/>
      <w:kern w:val="0"/>
      <w:sz w:val="20"/>
      <w:szCs w:val="20"/>
      <w:lang w:val="en-GB" w:eastAsia="ja-JP"/>
    </w:rPr>
  </w:style>
  <w:style w:type="character" w:customStyle="1" w:styleId="38">
    <w:name w:val="标题 3 Char"/>
    <w:basedOn w:val="21"/>
    <w:link w:val="4"/>
    <w:qFormat/>
    <w:uiPriority w:val="9"/>
    <w:rPr>
      <w:rFonts w:ascii="Times New Roman" w:hAnsi="Times New Roman" w:eastAsia="Times New Roman" w:cs="Times New Roman"/>
      <w:b/>
      <w:bCs/>
      <w:kern w:val="0"/>
      <w:sz w:val="32"/>
      <w:szCs w:val="32"/>
      <w:lang w:val="en-GB" w:eastAsia="en-US"/>
    </w:rPr>
  </w:style>
  <w:style w:type="character" w:customStyle="1" w:styleId="39">
    <w:name w:val="标题 4 Char"/>
    <w:basedOn w:val="21"/>
    <w:link w:val="5"/>
    <w:qFormat/>
    <w:uiPriority w:val="9"/>
    <w:rPr>
      <w:rFonts w:asciiTheme="majorHAnsi" w:hAnsiTheme="majorHAnsi" w:eastAsiaTheme="majorEastAsia" w:cstheme="majorBidi"/>
      <w:b/>
      <w:bCs/>
      <w:kern w:val="0"/>
      <w:sz w:val="28"/>
      <w:szCs w:val="28"/>
      <w:lang w:val="en-GB" w:eastAsia="en-US"/>
    </w:rPr>
  </w:style>
  <w:style w:type="paragraph" w:customStyle="1" w:styleId="40">
    <w:name w:val="TAC"/>
    <w:basedOn w:val="1"/>
    <w:link w:val="41"/>
    <w:qFormat/>
    <w:uiPriority w:val="0"/>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41">
    <w:name w:val="TAC Char"/>
    <w:link w:val="40"/>
    <w:qFormat/>
    <w:uiPriority w:val="0"/>
    <w:rPr>
      <w:rFonts w:ascii="Arial" w:hAnsi="Arial" w:eastAsia="Times New Roman" w:cs="Times New Roman"/>
      <w:kern w:val="0"/>
      <w:sz w:val="18"/>
      <w:szCs w:val="20"/>
      <w:lang w:val="en-GB" w:eastAsia="en-GB"/>
    </w:rPr>
  </w:style>
  <w:style w:type="paragraph" w:customStyle="1" w:styleId="42">
    <w:name w:val="TH"/>
    <w:basedOn w:val="1"/>
    <w:link w:val="43"/>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43">
    <w:name w:val="TH Char"/>
    <w:link w:val="42"/>
    <w:qFormat/>
    <w:uiPriority w:val="0"/>
    <w:rPr>
      <w:rFonts w:ascii="Arial" w:hAnsi="Arial" w:eastAsia="Times New Roman" w:cs="Times New Roman"/>
      <w:b/>
      <w:kern w:val="0"/>
      <w:sz w:val="20"/>
      <w:szCs w:val="20"/>
      <w:lang w:val="en-GB" w:eastAsia="en-GB"/>
    </w:rPr>
  </w:style>
  <w:style w:type="paragraph" w:customStyle="1" w:styleId="44">
    <w:name w:val="B1"/>
    <w:basedOn w:val="12"/>
    <w:link w:val="45"/>
    <w:qFormat/>
    <w:uiPriority w:val="0"/>
    <w:pPr>
      <w:overflowPunct w:val="0"/>
      <w:autoSpaceDE w:val="0"/>
      <w:autoSpaceDN w:val="0"/>
      <w:adjustRightInd w:val="0"/>
      <w:ind w:left="568" w:hanging="284" w:firstLineChars="0"/>
      <w:contextualSpacing w:val="0"/>
      <w:textAlignment w:val="baseline"/>
    </w:pPr>
    <w:rPr>
      <w:lang w:eastAsia="en-GB"/>
    </w:rPr>
  </w:style>
  <w:style w:type="character" w:customStyle="1" w:styleId="45">
    <w:name w:val="B1 Char"/>
    <w:link w:val="44"/>
    <w:qFormat/>
    <w:uiPriority w:val="0"/>
    <w:rPr>
      <w:rFonts w:ascii="Times New Roman" w:hAnsi="Times New Roman" w:eastAsia="Times New Roman" w:cs="Times New Roman"/>
      <w:kern w:val="0"/>
      <w:sz w:val="20"/>
      <w:szCs w:val="20"/>
      <w:lang w:val="en-GB" w:eastAsia="en-GB"/>
    </w:rPr>
  </w:style>
  <w:style w:type="character" w:customStyle="1" w:styleId="46">
    <w:name w:val="ui-provider"/>
    <w:basedOn w:val="21"/>
    <w:qFormat/>
    <w:uiPriority w:val="0"/>
  </w:style>
  <w:style w:type="character" w:customStyle="1" w:styleId="47">
    <w:name w:val="批注框文本 Char"/>
    <w:basedOn w:val="21"/>
    <w:link w:val="14"/>
    <w:semiHidden/>
    <w:qFormat/>
    <w:uiPriority w:val="99"/>
    <w:rPr>
      <w:rFonts w:ascii="Times New Roman" w:hAnsi="Times New Roman" w:eastAsia="Times New Roman" w:cs="Times New Roman"/>
      <w:kern w:val="0"/>
      <w:sz w:val="18"/>
      <w:szCs w:val="18"/>
      <w:lang w:val="en-GB" w:eastAsia="en-US"/>
    </w:rPr>
  </w:style>
  <w:style w:type="paragraph" w:customStyle="1" w:styleId="48">
    <w:name w:val="CR Cover Page"/>
    <w:link w:val="49"/>
    <w:qFormat/>
    <w:uiPriority w:val="0"/>
    <w:pPr>
      <w:spacing w:after="120"/>
    </w:pPr>
    <w:rPr>
      <w:rFonts w:ascii="Arial" w:hAnsi="Arial" w:cs="Times New Roman" w:eastAsiaTheme="minorEastAsia"/>
      <w:lang w:val="en-GB" w:eastAsia="en-US" w:bidi="ar-SA"/>
    </w:rPr>
  </w:style>
  <w:style w:type="character" w:customStyle="1" w:styleId="49">
    <w:name w:val="CR Cover Page Char"/>
    <w:link w:val="48"/>
    <w:qFormat/>
    <w:uiPriority w:val="0"/>
    <w:rPr>
      <w:rFonts w:ascii="Arial" w:hAnsi="Arial" w:cs="Times New Roman"/>
      <w:kern w:val="0"/>
      <w:sz w:val="20"/>
      <w:szCs w:val="20"/>
      <w:lang w:val="en-GB" w:eastAsia="en-US"/>
    </w:rPr>
  </w:style>
  <w:style w:type="character" w:customStyle="1" w:styleId="50">
    <w:name w:val="B1 Zchn"/>
    <w:qFormat/>
    <w:uiPriority w:val="0"/>
    <w:rPr>
      <w:lang w:eastAsia="en-US"/>
    </w:rPr>
  </w:style>
  <w:style w:type="character" w:styleId="51">
    <w:name w:val="Placeholder Text"/>
    <w:basedOn w:val="21"/>
    <w:semiHidden/>
    <w:qFormat/>
    <w:uiPriority w:val="99"/>
    <w:rPr>
      <w:color w:val="808080"/>
    </w:rPr>
  </w:style>
  <w:style w:type="character" w:customStyle="1" w:styleId="52">
    <w:name w:val="fontstyle01"/>
    <w:basedOn w:val="21"/>
    <w:qFormat/>
    <w:uiPriority w:val="0"/>
    <w:rPr>
      <w:rFonts w:hint="default" w:ascii="ArialMT" w:hAnsi="ArialMT"/>
      <w:color w:val="000000"/>
      <w:sz w:val="20"/>
      <w:szCs w:val="20"/>
    </w:rPr>
  </w:style>
  <w:style w:type="character" w:customStyle="1" w:styleId="53">
    <w:name w:val="题注 Char"/>
    <w:link w:val="8"/>
    <w:qFormat/>
    <w:uiPriority w:val="0"/>
    <w:rPr>
      <w:rFonts w:ascii="Times New Roman" w:hAnsi="Times New Roman" w:eastAsia="宋体" w:cs="Times New Roman"/>
      <w:b/>
      <w:kern w:val="0"/>
      <w:sz w:val="20"/>
      <w:szCs w:val="20"/>
      <w:lang w:val="en-GB" w:eastAsia="en-US"/>
    </w:rPr>
  </w:style>
  <w:style w:type="character" w:customStyle="1" w:styleId="54">
    <w:name w:val="正文文本 Char"/>
    <w:basedOn w:val="21"/>
    <w:link w:val="10"/>
    <w:qFormat/>
    <w:uiPriority w:val="0"/>
    <w:rPr>
      <w:rFonts w:ascii="Times New Roman" w:hAnsi="Times New Roman" w:eastAsia="Malgun Gothic" w:cs="Times New Roman"/>
      <w:kern w:val="0"/>
      <w:sz w:val="20"/>
      <w:szCs w:val="20"/>
      <w:lang w:val="en-GB" w:eastAsia="en-US"/>
    </w:rPr>
  </w:style>
  <w:style w:type="table" w:customStyle="1" w:styleId="55">
    <w:name w:val="Grid Table 1 Light1"/>
    <w:basedOn w:val="19"/>
    <w:qFormat/>
    <w:uiPriority w:val="46"/>
    <w:pPr>
      <w:jc w:val="both"/>
    </w:pPr>
    <w:rPr>
      <w:rFonts w:ascii="Times New Roman" w:hAnsi="Times New Roman" w:eastAsia="宋体" w:cs="Times New Roman"/>
      <w:lang w:eastAsia="ko-KR"/>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56">
    <w:name w:val="Observation"/>
    <w:basedOn w:val="1"/>
    <w:qFormat/>
    <w:uiPriority w:val="0"/>
    <w:pPr>
      <w:numPr>
        <w:ilvl w:val="0"/>
        <w:numId w:val="2"/>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57">
    <w:name w:val="参考资料列表"/>
    <w:basedOn w:val="12"/>
    <w:link w:val="58"/>
    <w:qFormat/>
    <w:uiPriority w:val="0"/>
    <w:pPr>
      <w:overflowPunct w:val="0"/>
      <w:autoSpaceDE w:val="0"/>
      <w:autoSpaceDN w:val="0"/>
      <w:adjustRightInd w:val="0"/>
      <w:spacing w:before="80" w:after="80"/>
      <w:ind w:left="680" w:hanging="567" w:firstLineChars="0"/>
      <w:contextualSpacing w:val="0"/>
      <w:jc w:val="both"/>
      <w:textAlignment w:val="baseline"/>
    </w:pPr>
    <w:rPr>
      <w:sz w:val="21"/>
      <w:szCs w:val="22"/>
      <w:lang w:eastAsia="zh-CN"/>
    </w:rPr>
  </w:style>
  <w:style w:type="character" w:customStyle="1" w:styleId="58">
    <w:name w:val="参考资料列表 Char"/>
    <w:link w:val="57"/>
    <w:qFormat/>
    <w:uiPriority w:val="0"/>
    <w:rPr>
      <w:rFonts w:ascii="Times New Roman" w:hAnsi="Times New Roman" w:eastAsia="宋体" w:cs="Times New Roman"/>
      <w:kern w:val="0"/>
      <w:lang w:val="en-GB"/>
    </w:rPr>
  </w:style>
  <w:style w:type="character" w:customStyle="1" w:styleId="59">
    <w:name w:val="正文缩进 Char"/>
    <w:link w:val="7"/>
    <w:qFormat/>
    <w:locked/>
    <w:uiPriority w:val="0"/>
    <w:rPr>
      <w:rFonts w:ascii="Times New Roman" w:hAnsi="Times New Roman" w:eastAsia="宋体" w:cs="Times New Roman"/>
      <w:szCs w:val="20"/>
      <w:lang w:val="en-GB"/>
    </w:rPr>
  </w:style>
  <w:style w:type="paragraph" w:customStyle="1" w:styleId="60">
    <w:name w:val="修订1"/>
    <w:hidden/>
    <w:semiHidden/>
    <w:qFormat/>
    <w:uiPriority w:val="99"/>
    <w:rPr>
      <w:rFonts w:ascii="Times New Roman" w:hAnsi="Times New Roman" w:eastAsia="Times New Roman" w:cs="Times New Roman"/>
      <w:lang w:val="en-GB" w:eastAsia="en-US" w:bidi="ar-SA"/>
    </w:rPr>
  </w:style>
  <w:style w:type="character" w:customStyle="1" w:styleId="61">
    <w:name w:val="批注文字 Char"/>
    <w:basedOn w:val="21"/>
    <w:link w:val="9"/>
    <w:semiHidden/>
    <w:qFormat/>
    <w:uiPriority w:val="99"/>
    <w:rPr>
      <w:rFonts w:ascii="宋体" w:hAnsi="宋体" w:eastAsia="宋体" w:cs="宋体"/>
      <w:sz w:val="24"/>
      <w:szCs w:val="24"/>
    </w:rPr>
  </w:style>
  <w:style w:type="character" w:customStyle="1" w:styleId="62">
    <w:name w:val="批注主题 Char"/>
    <w:basedOn w:val="61"/>
    <w:link w:val="18"/>
    <w:semiHidden/>
    <w:qFormat/>
    <w:uiPriority w:val="99"/>
    <w:rPr>
      <w:rFonts w:ascii="宋体" w:hAnsi="宋体" w:eastAsia="宋体" w:cs="宋体"/>
      <w:b/>
      <w:bCs/>
      <w:sz w:val="24"/>
      <w:szCs w:val="24"/>
    </w:rPr>
  </w:style>
  <w:style w:type="table" w:customStyle="1" w:styleId="63">
    <w:name w:val="网格型1"/>
    <w:basedOn w:val="19"/>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TableGrid11"/>
    <w:basedOn w:val="19"/>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
    <w:name w:val="Grid Table 1 Light11"/>
    <w:basedOn w:val="19"/>
    <w:qFormat/>
    <w:uiPriority w:val="46"/>
    <w:pPr>
      <w:jc w:val="both"/>
    </w:pPr>
    <w:rPr>
      <w:rFonts w:ascii="Times New Roman" w:hAnsi="Times New Roman" w:eastAsia="宋体" w:cs="Times New Roman"/>
      <w:lang w:eastAsia="ko-KR"/>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66">
    <w:name w:val="列出段落 Char1"/>
    <w:qFormat/>
    <w:locked/>
    <w:uiPriority w:val="34"/>
    <w:rPr>
      <w:szCs w:val="24"/>
    </w:rPr>
  </w:style>
  <w:style w:type="paragraph" w:customStyle="1" w:styleId="67">
    <w:name w:val="B1+"/>
    <w:basedOn w:val="1"/>
    <w:qFormat/>
    <w:uiPriority w:val="99"/>
    <w:pPr>
      <w:numPr>
        <w:ilvl w:val="0"/>
        <w:numId w:val="3"/>
      </w:numPr>
      <w:overflowPunct w:val="0"/>
      <w:autoSpaceDE w:val="0"/>
      <w:autoSpaceDN w:val="0"/>
      <w:adjustRightInd w:val="0"/>
    </w:pPr>
    <w:rPr>
      <w:rFonts w:eastAsia="Times New Roman"/>
      <w:lang w:val="en-GB"/>
    </w:rPr>
  </w:style>
  <w:style w:type="paragraph" w:customStyle="1" w:styleId="68">
    <w:name w:val="RAN4 proposal"/>
    <w:basedOn w:val="8"/>
    <w:next w:val="1"/>
    <w:link w:val="69"/>
    <w:qFormat/>
    <w:uiPriority w:val="0"/>
    <w:pPr>
      <w:numPr>
        <w:ilvl w:val="0"/>
        <w:numId w:val="4"/>
      </w:numPr>
      <w:spacing w:before="0" w:after="200"/>
      <w:ind w:left="0" w:firstLine="0"/>
    </w:pPr>
    <w:rPr>
      <w:iCs/>
      <w:szCs w:val="18"/>
      <w:lang w:val="en-GB"/>
    </w:rPr>
  </w:style>
  <w:style w:type="character" w:customStyle="1" w:styleId="69">
    <w:name w:val="RAN4 proposal Char"/>
    <w:basedOn w:val="53"/>
    <w:link w:val="68"/>
    <w:qFormat/>
    <w:uiPriority w:val="0"/>
    <w:rPr>
      <w:rFonts w:ascii="Times New Roman" w:hAnsi="Times New Roman" w:eastAsia="宋体" w:cs="Times New Roman"/>
      <w:iCs/>
      <w:kern w:val="0"/>
      <w:sz w:val="20"/>
      <w:szCs w:val="18"/>
      <w:lang w:val="en-GB" w:eastAsia="en-US"/>
    </w:rPr>
  </w:style>
  <w:style w:type="paragraph" w:customStyle="1" w:styleId="70">
    <w:name w:val="B2"/>
    <w:basedOn w:val="11"/>
    <w:link w:val="71"/>
    <w:qFormat/>
    <w:uiPriority w:val="0"/>
    <w:pPr>
      <w:overflowPunct w:val="0"/>
      <w:autoSpaceDE w:val="0"/>
      <w:autoSpaceDN w:val="0"/>
      <w:adjustRightInd w:val="0"/>
      <w:spacing w:after="180"/>
      <w:ind w:left="851" w:leftChars="0" w:hanging="284" w:firstLineChars="0"/>
      <w:contextualSpacing w:val="0"/>
      <w:textAlignment w:val="baseline"/>
    </w:pPr>
    <w:rPr>
      <w:rFonts w:ascii="Times New Roman" w:hAnsi="Times New Roman" w:cs="Times New Roman"/>
      <w:sz w:val="20"/>
      <w:szCs w:val="20"/>
      <w:lang w:val="en-GB" w:eastAsia="ja-JP"/>
    </w:rPr>
  </w:style>
  <w:style w:type="character" w:customStyle="1" w:styleId="71">
    <w:name w:val="B2 Char"/>
    <w:link w:val="70"/>
    <w:qFormat/>
    <w:uiPriority w:val="0"/>
    <w:rPr>
      <w:rFonts w:ascii="Times New Roman" w:hAnsi="Times New Roman" w:eastAsia="宋体" w:cs="Times New Roman"/>
      <w:lang w:val="en-GB" w:eastAsia="ja-JP"/>
    </w:rPr>
  </w:style>
  <w:style w:type="paragraph" w:customStyle="1" w:styleId="72">
    <w:name w:val="修订2"/>
    <w:hidden/>
    <w:unhideWhenUsed/>
    <w:qFormat/>
    <w:uiPriority w:val="99"/>
    <w:rPr>
      <w:rFonts w:ascii="宋体" w:hAnsi="宋体" w:eastAsia="宋体" w:cs="宋体"/>
      <w:sz w:val="24"/>
      <w:szCs w:val="24"/>
      <w:lang w:val="en-US" w:eastAsia="zh-CN" w:bidi="ar-SA"/>
    </w:rPr>
  </w:style>
  <w:style w:type="paragraph" w:customStyle="1" w:styleId="73">
    <w:name w:val="TAN"/>
    <w:basedOn w:val="1"/>
    <w:link w:val="74"/>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val="en-GB" w:eastAsia="en-GB"/>
    </w:rPr>
  </w:style>
  <w:style w:type="character" w:customStyle="1" w:styleId="74">
    <w:name w:val="TAN Char"/>
    <w:link w:val="73"/>
    <w:qFormat/>
    <w:uiPriority w:val="0"/>
    <w:rPr>
      <w:rFonts w:ascii="Arial" w:hAnsi="Arial" w:eastAsia="Times New Roman" w:cs="Times New Roman"/>
      <w:sz w:val="18"/>
      <w:lang w:val="en-GB" w:eastAsia="en-GB"/>
    </w:rPr>
  </w:style>
  <w:style w:type="paragraph" w:customStyle="1" w:styleId="75">
    <w:name w:val="Zchn Zchn"/>
    <w:semiHidden/>
    <w:qFormat/>
    <w:uiPriority w:val="99"/>
    <w:pPr>
      <w:keepNext/>
      <w:numPr>
        <w:ilvl w:val="0"/>
        <w:numId w:val="5"/>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6">
    <w:name w:val="文稿抬头"/>
    <w:qFormat/>
    <w:uiPriority w:val="0"/>
    <w:rPr>
      <w:rFonts w:eastAsia="MS Mincho"/>
      <w:b/>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5C922-CE27-4259-A133-F3894C67AA91}">
  <ds:schemaRefs/>
</ds:datastoreItem>
</file>

<file path=docProps/app.xml><?xml version="1.0" encoding="utf-8"?>
<Properties xmlns="http://schemas.openxmlformats.org/officeDocument/2006/extended-properties" xmlns:vt="http://schemas.openxmlformats.org/officeDocument/2006/docPropsVTypes">
  <Template>Normal</Template>
  <Pages>13</Pages>
  <Words>1114</Words>
  <Characters>6133</Characters>
  <Lines>259</Lines>
  <Paragraphs>72</Paragraphs>
  <TotalTime>26</TotalTime>
  <ScaleCrop>false</ScaleCrop>
  <LinksUpToDate>false</LinksUpToDate>
  <CharactersWithSpaces>7161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2024-10-18T01:17:00Z</dcterms:created>
  <dc:creator>Lingyu Gao - CATT</dc:creator>
  <cp:lastModifiedBy>Lingyu-CATT</cp:lastModifiedBy>
  <dcterms:modified xsi:type="dcterms:W3CDTF">2024-11-22T17:36:19Z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A92CFBB996614D18A1BF2D8B4C114B26</vt:lpwstr>
  </property>
  <property fmtid="{D5CDD505-2E9C-101B-9397-08002B2CF9AE}" pid="4" name="CWM4f5124b05ad011ef8000371c0000361c">
    <vt:lpwstr>CWMsBsrZFJepkCzs7yzXRycwwVo86KzhJfHbISYHSsSPpTY6DVri33LShbxkEmkPawcUUmHELLvZLk88GSdnuOgyw==</vt:lpwstr>
  </property>
</Properties>
</file>